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182226">
            <w:pPr>
              <w:pStyle w:val="Ttulo8"/>
              <w:rPr>
                <w:sz w:val="40"/>
              </w:rPr>
            </w:pPr>
            <w:r>
              <w:rPr>
                <w:sz w:val="36"/>
              </w:rPr>
              <w:t>MARZO</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931" w:type="dxa"/>
        <w:tblInd w:w="70" w:type="dxa"/>
        <w:tblLayout w:type="fixed"/>
        <w:tblCellMar>
          <w:left w:w="70" w:type="dxa"/>
          <w:right w:w="70" w:type="dxa"/>
        </w:tblCellMar>
        <w:tblLook w:val="0000"/>
      </w:tblPr>
      <w:tblGrid>
        <w:gridCol w:w="709"/>
        <w:gridCol w:w="7655"/>
        <w:gridCol w:w="567"/>
      </w:tblGrid>
      <w:tr w:rsidR="00852557">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567" w:type="dxa"/>
            <w:vAlign w:val="center"/>
          </w:tcPr>
          <w:p w:rsidR="00852557" w:rsidRDefault="00852557">
            <w:pPr>
              <w:tabs>
                <w:tab w:val="left" w:pos="4111"/>
              </w:tabs>
              <w:jc w:val="right"/>
              <w:rPr>
                <w:sz w:val="22"/>
              </w:rPr>
            </w:pPr>
            <w:bookmarkStart w:id="2" w:name="_Hlt24881596"/>
            <w:r>
              <w:rPr>
                <w:sz w:val="22"/>
              </w:rPr>
              <w:t>2</w:t>
            </w:r>
            <w:bookmarkEnd w:id="2"/>
          </w:p>
        </w:tc>
      </w:tr>
      <w:tr w:rsidR="00852557">
        <w:trPr>
          <w:cantSplit/>
          <w:trHeight w:val="10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567" w:type="dxa"/>
            <w:vAlign w:val="center"/>
          </w:tcPr>
          <w:p w:rsidR="00852557" w:rsidRDefault="002560B5" w:rsidP="002560B5">
            <w:pPr>
              <w:tabs>
                <w:tab w:val="left" w:pos="4111"/>
              </w:tabs>
              <w:jc w:val="right"/>
              <w:rPr>
                <w:sz w:val="22"/>
              </w:rPr>
            </w:pPr>
            <w:r>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567" w:type="dxa"/>
            <w:vAlign w:val="center"/>
          </w:tcPr>
          <w:p w:rsidR="00852557" w:rsidRDefault="006C1354" w:rsidP="006C1354">
            <w:pPr>
              <w:tabs>
                <w:tab w:val="left" w:pos="4111"/>
              </w:tabs>
              <w:jc w:val="right"/>
              <w:rPr>
                <w:sz w:val="22"/>
              </w:rPr>
            </w:pPr>
            <w:r>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567" w:type="dxa"/>
            <w:vAlign w:val="center"/>
          </w:tcPr>
          <w:p w:rsidR="00852557" w:rsidRDefault="006C1354" w:rsidP="006C1354">
            <w:pPr>
              <w:tabs>
                <w:tab w:val="left" w:pos="4111"/>
              </w:tabs>
              <w:jc w:val="right"/>
              <w:rPr>
                <w:sz w:val="22"/>
              </w:rPr>
            </w:pPr>
            <w:r>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567"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567"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567"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cantSplit/>
          <w:trHeight w:val="12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567"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567"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567"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567"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567"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567"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567"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567"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567"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trPr>
          <w:cantSplit/>
        </w:trPr>
        <w:tc>
          <w:tcPr>
            <w:tcW w:w="8931" w:type="dxa"/>
            <w:gridSpan w:val="3"/>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567"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567"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567"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567"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trPr>
          <w:cantSplit/>
        </w:trPr>
        <w:tc>
          <w:tcPr>
            <w:tcW w:w="8931" w:type="dxa"/>
            <w:gridSpan w:val="3"/>
            <w:vAlign w:val="center"/>
          </w:tcPr>
          <w:p w:rsidR="00852557" w:rsidRDefault="00852557">
            <w:pPr>
              <w:tabs>
                <w:tab w:val="left" w:pos="4111"/>
              </w:tabs>
              <w:rPr>
                <w:sz w:val="22"/>
              </w:rPr>
            </w:pPr>
          </w:p>
        </w:tc>
      </w:tr>
      <w:tr w:rsidR="00852557">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567"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567"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567" w:type="dxa"/>
            <w:vAlign w:val="center"/>
          </w:tcPr>
          <w:p w:rsidR="00852557" w:rsidRDefault="006C1354" w:rsidP="006C1354">
            <w:pPr>
              <w:tabs>
                <w:tab w:val="left" w:pos="4111"/>
              </w:tabs>
              <w:jc w:val="right"/>
              <w:rPr>
                <w:sz w:val="22"/>
              </w:rPr>
            </w:pPr>
            <w:r>
              <w:rPr>
                <w:sz w:val="22"/>
              </w:rPr>
              <w:t>30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567"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567"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567"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567"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567"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567"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567"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567"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567"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567" w:type="dxa"/>
            <w:vAlign w:val="center"/>
          </w:tcPr>
          <w:p w:rsidR="00852557" w:rsidRDefault="006C1354" w:rsidP="006C1354">
            <w:pPr>
              <w:tabs>
                <w:tab w:val="left" w:pos="4111"/>
              </w:tabs>
              <w:jc w:val="right"/>
              <w:rPr>
                <w:sz w:val="22"/>
              </w:rPr>
            </w:pPr>
            <w:r>
              <w:rPr>
                <w:sz w:val="22"/>
              </w:rPr>
              <w:t>40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567"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567"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567"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567"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567"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66613A" w:rsidP="0036002A">
      <w:pPr>
        <w:rPr>
          <w:sz w:val="22"/>
          <w:szCs w:val="22"/>
        </w:rPr>
      </w:pPr>
      <w:r>
        <w:rPr>
          <w:sz w:val="22"/>
          <w:szCs w:val="22"/>
        </w:rPr>
        <w:lastRenderedPageBreak/>
        <w:t xml:space="preserve">En el primer trimestre, el </w:t>
      </w:r>
      <w:r>
        <w:rPr>
          <w:b/>
          <w:bCs/>
          <w:sz w:val="22"/>
          <w:szCs w:val="22"/>
        </w:rPr>
        <w:t xml:space="preserve">Indicador de Actividad Económica Regional </w:t>
      </w:r>
      <w:r w:rsidRPr="0047393E">
        <w:rPr>
          <w:bCs/>
          <w:sz w:val="22"/>
          <w:szCs w:val="22"/>
        </w:rPr>
        <w:t>mostró un</w:t>
      </w:r>
      <w:r>
        <w:rPr>
          <w:bCs/>
          <w:sz w:val="22"/>
          <w:szCs w:val="22"/>
        </w:rPr>
        <w:t>a expansión del 0,7 por ciento</w:t>
      </w:r>
      <w:r>
        <w:rPr>
          <w:sz w:val="22"/>
          <w:szCs w:val="22"/>
        </w:rPr>
        <w:t xml:space="preserve"> respecto de similar período del año anterior. Esto obedeció al crecimiento de  los sectores de construcción (26,3 por ciento), servicios gubernamentales (8,4 por ciento) y servicios financieros (11,2 por ciento). En contraste, cayeron los sectores agropecuario (-19,9 por ciento), pesquero  (-1,5 por ciento), hidrocarburos (-1,8 por ciento), manufactura (-0,8 por ciento) y electricidad y agua (-2,8 por ciento).</w:t>
      </w:r>
    </w:p>
    <w:p w:rsidR="00852557" w:rsidRDefault="00852557">
      <w:pPr>
        <w:rPr>
          <w:color w:val="FF0000"/>
          <w:sz w:val="22"/>
        </w:rPr>
      </w:pPr>
    </w:p>
    <w:p w:rsidR="00852557" w:rsidRPr="008E49D7" w:rsidRDefault="00C053FA">
      <w:pPr>
        <w:pStyle w:val="SBS"/>
        <w:rPr>
          <w:rFonts w:ascii="Times New Roman" w:hAnsi="Times New Roman"/>
          <w:bCs/>
          <w:color w:val="FF0000"/>
        </w:rPr>
      </w:pPr>
      <w:r w:rsidRPr="00F27159">
        <w:rPr>
          <w:rFonts w:ascii="Times New Roman" w:hAnsi="Times New Roman"/>
          <w:bCs/>
          <w:szCs w:val="22"/>
        </w:rPr>
        <w:t>Del total</w:t>
      </w:r>
      <w:r w:rsidRPr="007E0B4C">
        <w:rPr>
          <w:rFonts w:ascii="Times New Roman" w:hAnsi="Times New Roman"/>
          <w:bCs/>
          <w:szCs w:val="22"/>
        </w:rPr>
        <w:t xml:space="preserve"> de </w:t>
      </w:r>
      <w:r w:rsidRPr="007E0B4C">
        <w:rPr>
          <w:rFonts w:ascii="Times New Roman" w:hAnsi="Times New Roman"/>
          <w:b/>
          <w:bCs/>
          <w:szCs w:val="22"/>
        </w:rPr>
        <w:t>empresas comerciales encuestadas</w:t>
      </w:r>
      <w:r w:rsidRPr="007E0B4C">
        <w:rPr>
          <w:rFonts w:ascii="Times New Roman" w:hAnsi="Times New Roman"/>
          <w:bCs/>
          <w:szCs w:val="22"/>
        </w:rPr>
        <w:t xml:space="preserve">, </w:t>
      </w:r>
      <w:r w:rsidRPr="00F27159">
        <w:rPr>
          <w:rFonts w:ascii="Times New Roman" w:hAnsi="Times New Roman"/>
          <w:bCs/>
          <w:szCs w:val="22"/>
        </w:rPr>
        <w:t xml:space="preserve"> </w:t>
      </w:r>
      <w:r w:rsidR="002C277E" w:rsidRPr="002C277E">
        <w:rPr>
          <w:rFonts w:ascii="Times New Roman" w:hAnsi="Times New Roman"/>
          <w:bCs/>
          <w:szCs w:val="22"/>
        </w:rPr>
        <w:t>el 46,0 por ciento incrementó sus ventas respecto a marzo del año pasado, mientras que un 29,0 por ciento  experimentó una disminución  y un 21,0 por ciento no mostró variación alguna.</w:t>
      </w:r>
      <w:r w:rsidR="002C277E">
        <w:rPr>
          <w:bCs/>
          <w:szCs w:val="22"/>
        </w:rPr>
        <w:t xml:space="preserve"> </w:t>
      </w:r>
    </w:p>
    <w:p w:rsidR="007E54D7" w:rsidRDefault="007E54D7">
      <w:pPr>
        <w:pStyle w:val="SBS"/>
        <w:rPr>
          <w:rFonts w:ascii="Times New Roman" w:hAnsi="Times New Roman"/>
          <w:bCs/>
          <w:color w:val="FF0000"/>
        </w:rPr>
      </w:pPr>
    </w:p>
    <w:p w:rsidR="00FB0D4F" w:rsidRDefault="008E49D7" w:rsidP="00FB0D4F">
      <w:pPr>
        <w:pStyle w:val="SBS"/>
        <w:keepLines/>
        <w:rPr>
          <w:rFonts w:ascii="Times New Roman" w:hAnsi="Times New Roman"/>
          <w:color w:val="000000"/>
          <w:szCs w:val="20"/>
          <w:lang w:val="es-ES"/>
        </w:rPr>
      </w:pPr>
      <w:r>
        <w:rPr>
          <w:rFonts w:ascii="Times New Roman" w:hAnsi="Times New Roman"/>
          <w:szCs w:val="20"/>
          <w:lang w:val="es-ES"/>
        </w:rPr>
        <w:t xml:space="preserve">En </w:t>
      </w:r>
      <w:r w:rsidR="00852557">
        <w:rPr>
          <w:rFonts w:ascii="Times New Roman" w:hAnsi="Times New Roman"/>
          <w:color w:val="000000"/>
          <w:szCs w:val="20"/>
          <w:lang w:val="es-ES"/>
        </w:rPr>
        <w:t xml:space="preserve">el mes, </w:t>
      </w:r>
      <w:r w:rsidR="00B81839">
        <w:rPr>
          <w:rFonts w:ascii="Times New Roman" w:hAnsi="Times New Roman"/>
          <w:color w:val="000000"/>
          <w:szCs w:val="20"/>
          <w:lang w:val="es-ES"/>
        </w:rPr>
        <w:t xml:space="preserve"> </w:t>
      </w:r>
      <w:r w:rsidR="002C277E">
        <w:rPr>
          <w:rFonts w:ascii="Times New Roman" w:hAnsi="Times New Roman"/>
          <w:color w:val="000000"/>
          <w:szCs w:val="20"/>
          <w:lang w:val="es-ES"/>
        </w:rPr>
        <w:t xml:space="preserve">el </w:t>
      </w:r>
      <w:r w:rsidR="002C277E" w:rsidRPr="002C277E">
        <w:rPr>
          <w:rFonts w:ascii="Times New Roman" w:hAnsi="Times New Roman"/>
          <w:b/>
          <w:color w:val="000000"/>
          <w:szCs w:val="20"/>
          <w:lang w:val="es-ES"/>
        </w:rPr>
        <w:t>tipo de cambio venta</w:t>
      </w:r>
      <w:r w:rsidR="002C277E">
        <w:rPr>
          <w:rFonts w:ascii="Times New Roman" w:hAnsi="Times New Roman"/>
          <w:color w:val="000000"/>
          <w:szCs w:val="20"/>
          <w:lang w:val="es-ES"/>
        </w:rPr>
        <w:t xml:space="preserve"> (promedio) en el mercado informal de la ciudad de Piura disminuyó en 3,6 </w:t>
      </w:r>
      <w:r w:rsidR="002C277E">
        <w:rPr>
          <w:rFonts w:ascii="Times New Roman" w:hAnsi="Times New Roman"/>
          <w:szCs w:val="20"/>
          <w:lang w:val="es-ES"/>
        </w:rPr>
        <w:t xml:space="preserve"> </w:t>
      </w:r>
      <w:r w:rsidR="002C277E">
        <w:rPr>
          <w:rFonts w:ascii="Times New Roman" w:hAnsi="Times New Roman"/>
          <w:color w:val="000000"/>
          <w:szCs w:val="20"/>
          <w:lang w:val="es-ES"/>
        </w:rPr>
        <w:t xml:space="preserve">por ciento respecto a similar período del año anterior. </w:t>
      </w:r>
    </w:p>
    <w:p w:rsidR="002C277E" w:rsidRDefault="00B71374" w:rsidP="002C277E">
      <w:pPr>
        <w:pStyle w:val="Sangradetextonormal"/>
        <w:ind w:firstLine="0"/>
        <w:rPr>
          <w:sz w:val="22"/>
        </w:rPr>
      </w:pPr>
      <w:r>
        <w:rPr>
          <w:sz w:val="22"/>
        </w:rPr>
        <w:lastRenderedPageBreak/>
        <w:t xml:space="preserve">En </w:t>
      </w:r>
      <w:r w:rsidR="002C277E">
        <w:rPr>
          <w:sz w:val="22"/>
        </w:rPr>
        <w:t>marzo</w:t>
      </w:r>
      <w:r>
        <w:rPr>
          <w:sz w:val="22"/>
        </w:rPr>
        <w:t xml:space="preserve">, </w:t>
      </w:r>
      <w:r w:rsidR="002C277E">
        <w:rPr>
          <w:sz w:val="22"/>
        </w:rPr>
        <w:t xml:space="preserve">las </w:t>
      </w:r>
      <w:r w:rsidR="002C277E">
        <w:rPr>
          <w:b/>
          <w:sz w:val="22"/>
        </w:rPr>
        <w:t>exportaciones</w:t>
      </w:r>
      <w:r w:rsidR="002C277E">
        <w:rPr>
          <w:sz w:val="22"/>
        </w:rPr>
        <w:t xml:space="preserve"> del departamento de Piura fueron de US$268,8 millones, superando en 8,5 por ciento a las de igual mes del año pasado, por la mayor oferta de productos tradicionales (1,3 por ciento) y no tradicionales (18,2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401CA7">
        <w:rPr>
          <w:sz w:val="22"/>
        </w:rPr>
        <w:t xml:space="preserve"> </w:t>
      </w:r>
      <w:r w:rsidR="002C277E">
        <w:rPr>
          <w:sz w:val="22"/>
        </w:rPr>
        <w:t xml:space="preserve">los </w:t>
      </w:r>
      <w:r w:rsidR="002C277E" w:rsidRPr="002C277E">
        <w:rPr>
          <w:b/>
          <w:sz w:val="22"/>
        </w:rPr>
        <w:t>ingresos recaudados por la SUNAT</w:t>
      </w:r>
      <w:r w:rsidR="002C277E">
        <w:rPr>
          <w:sz w:val="22"/>
        </w:rPr>
        <w:t xml:space="preserve"> bordearon los S/.199,0 millones, registrando una expansión real del 19,5 por ciento en relación con marzo del año anterior. Esto obedeció principalmente al incremento en la captación de impuestos a los ingresos (38,3 por ciento), lo cual contrarrestó con creces la caída en el impuesto general a las ventas (-10,1 por ciento).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2C277E">
        <w:rPr>
          <w:sz w:val="22"/>
        </w:rPr>
        <w:t>2</w:t>
      </w:r>
      <w:r w:rsidR="0036002A">
        <w:rPr>
          <w:sz w:val="22"/>
        </w:rPr>
        <w:t>6</w:t>
      </w:r>
      <w:r w:rsidR="007E7C91">
        <w:rPr>
          <w:sz w:val="22"/>
        </w:rPr>
        <w:t>,</w:t>
      </w:r>
      <w:r w:rsidR="0069742A">
        <w:rPr>
          <w:sz w:val="22"/>
        </w:rPr>
        <w:t>0</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2C277E">
        <w:rPr>
          <w:sz w:val="22"/>
          <w:szCs w:val="22"/>
        </w:rPr>
        <w:t>3</w:t>
      </w:r>
      <w:r w:rsidR="0069742A">
        <w:rPr>
          <w:sz w:val="22"/>
          <w:szCs w:val="22"/>
        </w:rPr>
        <w:t>,</w:t>
      </w:r>
      <w:r w:rsidR="002C277E">
        <w:rPr>
          <w:sz w:val="22"/>
          <w:szCs w:val="22"/>
        </w:rPr>
        <w:t>0</w:t>
      </w:r>
      <w:r w:rsidR="00B71374">
        <w:rPr>
          <w:sz w:val="22"/>
          <w:szCs w:val="22"/>
        </w:rPr>
        <w:t xml:space="preserve"> y 1</w:t>
      </w:r>
      <w:r w:rsidR="002C277E">
        <w:rPr>
          <w:sz w:val="22"/>
          <w:szCs w:val="22"/>
        </w:rPr>
        <w:t>1</w:t>
      </w:r>
      <w:r w:rsidR="00B71374">
        <w:rPr>
          <w:sz w:val="22"/>
          <w:szCs w:val="22"/>
        </w:rPr>
        <w:t>,</w:t>
      </w:r>
      <w:r w:rsidR="002C277E">
        <w:rPr>
          <w:sz w:val="22"/>
          <w:szCs w:val="22"/>
        </w:rPr>
        <w:t>9</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similar p</w:t>
      </w:r>
      <w:r w:rsidR="00475595">
        <w:rPr>
          <w:sz w:val="22"/>
          <w:szCs w:val="22"/>
        </w:rPr>
        <w:t>eríodo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Pr>
          <w:sz w:val="22"/>
          <w:szCs w:val="22"/>
        </w:rPr>
        <w:t xml:space="preserve">del </w:t>
      </w:r>
      <w:r w:rsidR="0036002A">
        <w:rPr>
          <w:sz w:val="22"/>
          <w:szCs w:val="22"/>
        </w:rPr>
        <w:t>4</w:t>
      </w:r>
      <w:r w:rsidR="00B71374">
        <w:rPr>
          <w:sz w:val="22"/>
          <w:szCs w:val="22"/>
        </w:rPr>
        <w:t>,</w:t>
      </w:r>
      <w:r w:rsidR="002C277E">
        <w:rPr>
          <w:sz w:val="22"/>
          <w:szCs w:val="22"/>
        </w:rPr>
        <w:t>0</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2C277E" w:rsidRDefault="00852557">
      <w:pPr>
        <w:numPr>
          <w:ilvl w:val="1"/>
          <w:numId w:val="1"/>
        </w:numPr>
        <w:rPr>
          <w:b/>
        </w:rPr>
      </w:pPr>
      <w:r w:rsidRPr="002C277E">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40195F" w:rsidRDefault="0040195F" w:rsidP="0040195F">
      <w:pPr>
        <w:rPr>
          <w:sz w:val="22"/>
          <w:szCs w:val="22"/>
        </w:rPr>
      </w:pPr>
      <w:r>
        <w:rPr>
          <w:sz w:val="22"/>
          <w:szCs w:val="22"/>
        </w:rPr>
        <w:lastRenderedPageBreak/>
        <w:t xml:space="preserve">En el primer trimestre, el </w:t>
      </w:r>
      <w:r>
        <w:rPr>
          <w:b/>
          <w:bCs/>
          <w:sz w:val="22"/>
          <w:szCs w:val="22"/>
        </w:rPr>
        <w:t xml:space="preserve">Indicador de Actividad Económica Regional </w:t>
      </w:r>
      <w:r w:rsidRPr="0047393E">
        <w:rPr>
          <w:bCs/>
          <w:sz w:val="22"/>
          <w:szCs w:val="22"/>
        </w:rPr>
        <w:t>mostró un</w:t>
      </w:r>
      <w:r>
        <w:rPr>
          <w:bCs/>
          <w:sz w:val="22"/>
          <w:szCs w:val="22"/>
        </w:rPr>
        <w:t xml:space="preserve">a </w:t>
      </w:r>
      <w:r w:rsidR="00FB6E97">
        <w:rPr>
          <w:bCs/>
          <w:sz w:val="22"/>
          <w:szCs w:val="22"/>
        </w:rPr>
        <w:t xml:space="preserve">expansión </w:t>
      </w:r>
      <w:r>
        <w:rPr>
          <w:bCs/>
          <w:sz w:val="22"/>
          <w:szCs w:val="22"/>
        </w:rPr>
        <w:t xml:space="preserve">del </w:t>
      </w:r>
      <w:r w:rsidR="00FB6E97">
        <w:rPr>
          <w:bCs/>
          <w:sz w:val="22"/>
          <w:szCs w:val="22"/>
        </w:rPr>
        <w:t>0</w:t>
      </w:r>
      <w:r>
        <w:rPr>
          <w:bCs/>
          <w:sz w:val="22"/>
          <w:szCs w:val="22"/>
        </w:rPr>
        <w:t>,</w:t>
      </w:r>
      <w:r w:rsidR="00FB6E97">
        <w:rPr>
          <w:bCs/>
          <w:sz w:val="22"/>
          <w:szCs w:val="22"/>
        </w:rPr>
        <w:t>7</w:t>
      </w:r>
      <w:r>
        <w:rPr>
          <w:bCs/>
          <w:sz w:val="22"/>
          <w:szCs w:val="22"/>
        </w:rPr>
        <w:t xml:space="preserve"> por ciento</w:t>
      </w:r>
      <w:r>
        <w:rPr>
          <w:sz w:val="22"/>
          <w:szCs w:val="22"/>
        </w:rPr>
        <w:t xml:space="preserve"> respecto de similar período del año anterior</w:t>
      </w:r>
      <w:r>
        <w:rPr>
          <w:sz w:val="22"/>
          <w:szCs w:val="22"/>
          <w:vertAlign w:val="superscript"/>
        </w:rPr>
        <w:t>1</w:t>
      </w:r>
      <w:r>
        <w:rPr>
          <w:sz w:val="22"/>
          <w:szCs w:val="22"/>
        </w:rPr>
        <w:t>. Esto obedeció a</w:t>
      </w:r>
      <w:r w:rsidR="00FB6E97">
        <w:rPr>
          <w:sz w:val="22"/>
          <w:szCs w:val="22"/>
        </w:rPr>
        <w:t xml:space="preserve">l crecimiento de </w:t>
      </w:r>
      <w:r>
        <w:rPr>
          <w:sz w:val="22"/>
          <w:szCs w:val="22"/>
        </w:rPr>
        <w:t xml:space="preserve"> </w:t>
      </w:r>
      <w:r w:rsidR="00FB6E97">
        <w:rPr>
          <w:sz w:val="22"/>
          <w:szCs w:val="22"/>
        </w:rPr>
        <w:t xml:space="preserve">los sectores de construcción (26,3 por ciento), servicios gubernamentales (8,4 por ciento) y </w:t>
      </w:r>
      <w:r w:rsidR="00FB6E97">
        <w:rPr>
          <w:sz w:val="22"/>
          <w:szCs w:val="22"/>
        </w:rPr>
        <w:lastRenderedPageBreak/>
        <w:t xml:space="preserve">servicios financieros (11,2 por ciento). En contraste, cayeron </w:t>
      </w:r>
      <w:r>
        <w:rPr>
          <w:sz w:val="22"/>
          <w:szCs w:val="22"/>
        </w:rPr>
        <w:t xml:space="preserve">los sectores agropecuario (-19,9 por ciento), pesquero </w:t>
      </w:r>
      <w:r w:rsidR="002C277E">
        <w:rPr>
          <w:sz w:val="22"/>
          <w:szCs w:val="22"/>
        </w:rPr>
        <w:t xml:space="preserve"> </w:t>
      </w:r>
      <w:r>
        <w:rPr>
          <w:sz w:val="22"/>
          <w:szCs w:val="22"/>
        </w:rPr>
        <w:t>(-1,</w:t>
      </w:r>
      <w:r w:rsidR="00FB6E97">
        <w:rPr>
          <w:sz w:val="22"/>
          <w:szCs w:val="22"/>
        </w:rPr>
        <w:t>5</w:t>
      </w:r>
      <w:r>
        <w:rPr>
          <w:sz w:val="22"/>
          <w:szCs w:val="22"/>
        </w:rPr>
        <w:t xml:space="preserve"> por ciento), hidrocarburos (-1,8 por ciento), manufactura (-</w:t>
      </w:r>
      <w:r w:rsidR="00FB6E97">
        <w:rPr>
          <w:sz w:val="22"/>
          <w:szCs w:val="22"/>
        </w:rPr>
        <w:t>0</w:t>
      </w:r>
      <w:r>
        <w:rPr>
          <w:sz w:val="22"/>
          <w:szCs w:val="22"/>
        </w:rPr>
        <w:t>,</w:t>
      </w:r>
      <w:r w:rsidR="00FB6E97">
        <w:rPr>
          <w:sz w:val="22"/>
          <w:szCs w:val="22"/>
        </w:rPr>
        <w:t>8</w:t>
      </w:r>
      <w:r>
        <w:rPr>
          <w:sz w:val="22"/>
          <w:szCs w:val="22"/>
        </w:rPr>
        <w:t xml:space="preserve"> por ciento) y electricidad y agua (-2,8 por ciento). </w:t>
      </w:r>
    </w:p>
    <w:p w:rsidR="00E05090" w:rsidRDefault="00E05090" w:rsidP="00E05090">
      <w:pPr>
        <w:rPr>
          <w:sz w:val="22"/>
        </w:rPr>
      </w:pPr>
      <w:r>
        <w:rPr>
          <w:sz w:val="22"/>
        </w:rPr>
        <w:t xml:space="preserve"> </w:t>
      </w:r>
    </w:p>
    <w:p w:rsidR="006C4C43" w:rsidRDefault="006C4C43" w:rsidP="006C4C43">
      <w:pPr>
        <w:rPr>
          <w:sz w:val="22"/>
          <w:szCs w:val="22"/>
        </w:rPr>
        <w:sectPr w:rsidR="006C4C43" w:rsidSect="006C4C43">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48656E"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303.75pt;height:280.5pt" o:ole="">
            <v:imagedata r:id="rId14" o:title=""/>
          </v:shape>
          <o:OLEObject Type="Embed" ProgID="Excel.Sheet.8" ShapeID="_x0000_i1063" DrawAspect="Content" ObjectID="_1399363678"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01EFC" w:rsidRDefault="00852557" w:rsidP="003E1A7E">
      <w:pPr>
        <w:numPr>
          <w:ilvl w:val="2"/>
          <w:numId w:val="10"/>
        </w:numPr>
        <w:rPr>
          <w:b/>
        </w:rPr>
      </w:pPr>
      <w:r w:rsidRPr="00501EFC">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E05090" w:rsidRDefault="00E05090" w:rsidP="003E1A7E">
      <w:pPr>
        <w:pStyle w:val="Textoindependiente"/>
        <w:rPr>
          <w:rFonts w:ascii="Times" w:hAnsi="Times" w:cs="Arial"/>
          <w:sz w:val="22"/>
        </w:rPr>
      </w:pPr>
      <w:r>
        <w:rPr>
          <w:rFonts w:ascii="Times" w:hAnsi="Times" w:cs="Arial"/>
          <w:sz w:val="22"/>
        </w:rPr>
        <w:lastRenderedPageBreak/>
        <w:t xml:space="preserve">En marzo, la </w:t>
      </w:r>
      <w:r w:rsidRPr="00700B04">
        <w:rPr>
          <w:rFonts w:ascii="Times" w:hAnsi="Times" w:cs="Arial"/>
          <w:b/>
          <w:sz w:val="22"/>
        </w:rPr>
        <w:t>actividad agropecuaria</w:t>
      </w:r>
      <w:r>
        <w:rPr>
          <w:rFonts w:ascii="Times" w:hAnsi="Times" w:cs="Arial"/>
          <w:sz w:val="22"/>
        </w:rPr>
        <w:t xml:space="preserve"> creció </w:t>
      </w:r>
      <w:r w:rsidR="00D33F31">
        <w:rPr>
          <w:rFonts w:ascii="Times" w:hAnsi="Times" w:cs="Arial"/>
          <w:sz w:val="22"/>
        </w:rPr>
        <w:t>0,4</w:t>
      </w:r>
      <w:r>
        <w:rPr>
          <w:rFonts w:ascii="Times" w:hAnsi="Times" w:cs="Arial"/>
          <w:sz w:val="22"/>
        </w:rPr>
        <w:t xml:space="preserve"> por ciento respecto de similar mes del año pasado. Esto obedeció a</w:t>
      </w:r>
      <w:r w:rsidR="00D33F31">
        <w:rPr>
          <w:rFonts w:ascii="Times" w:hAnsi="Times" w:cs="Arial"/>
          <w:sz w:val="22"/>
        </w:rPr>
        <w:t xml:space="preserve"> la recuperación del subsector pecuario (11,9 por ciento), que contrarrestó la </w:t>
      </w:r>
      <w:r>
        <w:rPr>
          <w:rFonts w:ascii="Times" w:hAnsi="Times" w:cs="Arial"/>
          <w:sz w:val="22"/>
        </w:rPr>
        <w:t xml:space="preserve">caída del </w:t>
      </w:r>
      <w:r>
        <w:rPr>
          <w:rFonts w:ascii="Times" w:hAnsi="Times" w:cs="Arial"/>
          <w:sz w:val="22"/>
        </w:rPr>
        <w:lastRenderedPageBreak/>
        <w:t xml:space="preserve">subsector agrícola (-5,3 por ciento). </w:t>
      </w:r>
      <w:r w:rsidR="00D33F31">
        <w:rPr>
          <w:rFonts w:ascii="Times" w:hAnsi="Times" w:cs="Arial"/>
          <w:sz w:val="22"/>
        </w:rPr>
        <w:t xml:space="preserve">No obstante, </w:t>
      </w:r>
      <w:r>
        <w:rPr>
          <w:rFonts w:ascii="Times" w:hAnsi="Times" w:cs="Arial"/>
          <w:sz w:val="22"/>
        </w:rPr>
        <w:t xml:space="preserve">en el primer trimestre, el sector acumuló una contracción del </w:t>
      </w:r>
      <w:r w:rsidR="00D33F31">
        <w:rPr>
          <w:rFonts w:ascii="Times" w:hAnsi="Times" w:cs="Arial"/>
          <w:sz w:val="22"/>
        </w:rPr>
        <w:t>19</w:t>
      </w:r>
      <w:r>
        <w:rPr>
          <w:rFonts w:ascii="Times" w:hAnsi="Times" w:cs="Arial"/>
          <w:sz w:val="22"/>
        </w:rPr>
        <w:t>,</w:t>
      </w:r>
      <w:r w:rsidR="00D33F31">
        <w:rPr>
          <w:rFonts w:ascii="Times" w:hAnsi="Times" w:cs="Arial"/>
          <w:sz w:val="22"/>
        </w:rPr>
        <w:t>9</w:t>
      </w:r>
      <w:r>
        <w:rPr>
          <w:rFonts w:ascii="Times" w:hAnsi="Times" w:cs="Arial"/>
          <w:sz w:val="22"/>
        </w:rPr>
        <w:t xml:space="preserve"> por ciento</w:t>
      </w:r>
      <w:r w:rsidR="009459B3">
        <w:rPr>
          <w:rFonts w:ascii="Times" w:hAnsi="Times" w:cs="Arial"/>
          <w:sz w:val="22"/>
        </w:rPr>
        <w:t>.</w:t>
      </w:r>
    </w:p>
    <w:p w:rsidR="00E05090" w:rsidRDefault="00E05090" w:rsidP="003E1A7E">
      <w:pPr>
        <w:pStyle w:val="Textoindependiente"/>
        <w:rPr>
          <w:rFonts w:ascii="Times" w:hAnsi="Times" w:cs="Arial"/>
          <w:sz w:val="22"/>
        </w:rPr>
        <w:sectPr w:rsidR="00E05090" w:rsidSect="00E05090">
          <w:type w:val="continuous"/>
          <w:pgSz w:w="11906" w:h="16838"/>
          <w:pgMar w:top="1418" w:right="1701" w:bottom="1276" w:left="1701" w:header="708" w:footer="708" w:gutter="0"/>
          <w:cols w:num="2" w:space="709"/>
          <w:docGrid w:linePitch="360"/>
        </w:sect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2C277E"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81" w:dyaOrig="3071">
          <v:shape id="_x0000_i1025" type="#_x0000_t75" style="width:277.5pt;height:124.5pt" o:ole="">
            <v:imagedata r:id="rId16" o:title=""/>
            <o:lock v:ext="edit" aspectratio="f"/>
          </v:shape>
          <o:OLEObject Type="Embed" ProgID="Excel.Sheet.12" ShapeID="_x0000_i1025" DrawAspect="Content" ObjectID="_1399363679" r:id="rId17"/>
        </w:object>
      </w:r>
    </w:p>
    <w:p w:rsidR="00675AA8" w:rsidRDefault="00482FA5" w:rsidP="00D61BDC">
      <w:pPr>
        <w:pStyle w:val="Textoindependiente"/>
        <w:rPr>
          <w:rFonts w:ascii="Times" w:hAnsi="Times" w:cs="Arial"/>
          <w:bCs/>
          <w:sz w:val="22"/>
        </w:rPr>
      </w:pPr>
      <w:r w:rsidRPr="00482FA5">
        <w:rPr>
          <w:noProof/>
          <w:lang w:val="es-PE" w:eastAsia="es-PE"/>
        </w:rPr>
        <w:lastRenderedPageBreak/>
        <w:pict>
          <v:shapetype id="_x0000_t202" coordsize="21600,21600" o:spt="202" path="m,l,21600r21600,l21600,xe">
            <v:stroke joinstyle="miter"/>
            <v:path gradientshapeok="t" o:connecttype="rect"/>
          </v:shapetype>
          <v:shape id="_x0000_s1603" type="#_x0000_t202" style="position:absolute;left:0;text-align:left;margin-left:-4.75pt;margin-top:12.25pt;width:445.15pt;height:45.75pt;z-index:251665920;mso-width-relative:margin;mso-height-relative:margin" stroked="f">
            <v:textbox style="mso-next-textbox:#_x0000_s1603">
              <w:txbxContent>
                <w:p w:rsidR="00DB53D8" w:rsidRPr="00E63ED3" w:rsidRDefault="00DB53D8"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w:t>
                  </w:r>
                  <w:r w:rsidR="00FB6E97">
                    <w:rPr>
                      <w:sz w:val="16"/>
                      <w:szCs w:val="16"/>
                    </w:rPr>
                    <w:t>1</w:t>
                  </w:r>
                  <w:r>
                    <w:rPr>
                      <w:sz w:val="16"/>
                      <w:szCs w:val="16"/>
                    </w:rPr>
                    <w:t>,</w:t>
                  </w:r>
                  <w:r w:rsidR="00FB6E97">
                    <w:rPr>
                      <w:sz w:val="16"/>
                      <w:szCs w:val="16"/>
                    </w:rPr>
                    <w:t>2</w:t>
                  </w:r>
                  <w:r>
                    <w:rPr>
                      <w:sz w:val="16"/>
                      <w:szCs w:val="16"/>
                    </w:rPr>
                    <w:t xml:space="preserve">  por ciento, pero como su peso relativo en el PBI es de 58,5 por ciento, su aporte al crecimiento regional es de </w:t>
                  </w:r>
                  <w:r w:rsidR="00FB6E97">
                    <w:rPr>
                      <w:sz w:val="16"/>
                      <w:szCs w:val="16"/>
                    </w:rPr>
                    <w:t>0</w:t>
                  </w:r>
                  <w:r>
                    <w:rPr>
                      <w:sz w:val="16"/>
                      <w:szCs w:val="16"/>
                    </w:rPr>
                    <w:t>,</w:t>
                  </w:r>
                  <w:r w:rsidR="00FB6E97">
                    <w:rPr>
                      <w:sz w:val="16"/>
                      <w:szCs w:val="16"/>
                    </w:rPr>
                    <w:t>7</w:t>
                  </w:r>
                  <w:r>
                    <w:rPr>
                      <w:sz w:val="16"/>
                      <w:szCs w:val="16"/>
                    </w:rPr>
                    <w:t xml:space="preserve"> por ciento (</w:t>
                  </w:r>
                  <w:r w:rsidR="00FB6E97">
                    <w:rPr>
                      <w:sz w:val="16"/>
                      <w:szCs w:val="16"/>
                    </w:rPr>
                    <w:t>1</w:t>
                  </w:r>
                  <w:r>
                    <w:rPr>
                      <w:sz w:val="16"/>
                      <w:szCs w:val="16"/>
                    </w:rPr>
                    <w:t>,</w:t>
                  </w:r>
                  <w:r w:rsidR="00FB6E97">
                    <w:rPr>
                      <w:sz w:val="16"/>
                      <w:szCs w:val="16"/>
                    </w:rPr>
                    <w:t>2</w:t>
                  </w:r>
                  <w:r>
                    <w:rPr>
                      <w:sz w:val="16"/>
                      <w:szCs w:val="16"/>
                    </w:rPr>
                    <w:t>%  x 0.585).</w:t>
                  </w:r>
                </w:p>
              </w:txbxContent>
            </v:textbox>
          </v:shape>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E05090" w:rsidP="00D33F31">
      <w:pPr>
        <w:pStyle w:val="Textoindependiente"/>
        <w:jc w:val="center"/>
      </w:pPr>
      <w:r>
        <w:object w:dxaOrig="7724" w:dyaOrig="6396">
          <v:shape id="_x0000_i1026" type="#_x0000_t75" style="width:386.25pt;height:319.5pt" o:ole="">
            <v:imagedata r:id="rId18" o:title=""/>
          </v:shape>
          <o:OLEObject Type="Embed" ProgID="Excel.Sheet.12" ShapeID="_x0000_i1026" DrawAspect="Content" ObjectID="_1399363680"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907111" w:rsidRDefault="00907111" w:rsidP="00D61BDC">
      <w:pPr>
        <w:jc w:val="center"/>
      </w:pPr>
    </w:p>
    <w:p w:rsidR="00D61BDC" w:rsidRDefault="00D61BDC" w:rsidP="00D61BDC">
      <w:pPr>
        <w:rPr>
          <w:sz w:val="22"/>
        </w:rPr>
      </w:pPr>
    </w:p>
    <w:p w:rsidR="00EC3F50" w:rsidRDefault="00EC3F50" w:rsidP="00D61BDC">
      <w:pPr>
        <w:rPr>
          <w:sz w:val="22"/>
        </w:rPr>
      </w:pPr>
    </w:p>
    <w:p w:rsidR="00EC3F50" w:rsidRDefault="00EC3F50" w:rsidP="00D61BDC">
      <w:pPr>
        <w:rPr>
          <w:sz w:val="22"/>
        </w:rPr>
        <w:sectPr w:rsidR="00EC3F50" w:rsidSect="00E05090">
          <w:type w:val="continuous"/>
          <w:pgSz w:w="11906" w:h="16838"/>
          <w:pgMar w:top="1418" w:right="1701" w:bottom="1276" w:left="1701" w:header="720" w:footer="720" w:gutter="0"/>
          <w:cols w:num="2" w:space="720"/>
        </w:sectPr>
      </w:pPr>
    </w:p>
    <w:p w:rsidR="00E05090" w:rsidRDefault="00E05090" w:rsidP="00E05090">
      <w:pPr>
        <w:rPr>
          <w:sz w:val="22"/>
        </w:rPr>
      </w:pPr>
      <w:r>
        <w:rPr>
          <w:sz w:val="22"/>
        </w:rPr>
        <w:lastRenderedPageBreak/>
        <w:t xml:space="preserve">La caída del subsector agrícola obedeció básicamente a la menor producción de mango (-35,1 por ciento), merced a efectos climáticos adversos en las etapas de floración y formación de frutos; adicionalmente, las precipitaciones </w:t>
      </w:r>
      <w:r>
        <w:rPr>
          <w:sz w:val="22"/>
        </w:rPr>
        <w:lastRenderedPageBreak/>
        <w:t>pluviales de febrero afectaron la calidad de la fruta y dificultaron las labores de cosecha. Por otra parte, disminuyó la producción de papa (-68,3 por ciento), a consecuencia de excesivas lluvias en la sierra</w:t>
      </w:r>
      <w:r w:rsidR="00C92F21">
        <w:rPr>
          <w:sz w:val="22"/>
        </w:rPr>
        <w:t>.</w:t>
      </w:r>
    </w:p>
    <w:p w:rsidR="00E05090" w:rsidRDefault="00E05090" w:rsidP="009459B3">
      <w:pPr>
        <w:rPr>
          <w:sz w:val="22"/>
        </w:rPr>
        <w:sectPr w:rsidR="00E05090" w:rsidSect="00E05090">
          <w:headerReference w:type="default" r:id="rId22"/>
          <w:footerReference w:type="default" r:id="rId23"/>
          <w:type w:val="continuous"/>
          <w:pgSz w:w="11906" w:h="16838"/>
          <w:pgMar w:top="1418" w:right="1701" w:bottom="1276" w:left="1701" w:header="720" w:footer="720" w:gutter="0"/>
          <w:cols w:num="2" w:space="709"/>
        </w:sectPr>
      </w:pPr>
    </w:p>
    <w:p w:rsidR="0071474F" w:rsidRDefault="0071474F" w:rsidP="009459B3">
      <w:pPr>
        <w:rPr>
          <w:sz w:val="22"/>
        </w:rPr>
      </w:pPr>
    </w:p>
    <w:p w:rsidR="00EC3F50" w:rsidRDefault="00EC3F50" w:rsidP="009459B3">
      <w:pPr>
        <w:rPr>
          <w:sz w:val="22"/>
        </w:rPr>
      </w:pPr>
    </w:p>
    <w:p w:rsidR="00165A89" w:rsidRDefault="00165A89" w:rsidP="00165A89">
      <w:pPr>
        <w:rPr>
          <w:sz w:val="22"/>
        </w:rPr>
      </w:pPr>
    </w:p>
    <w:p w:rsidR="00F50699" w:rsidRDefault="00F50699" w:rsidP="00165A89">
      <w:pPr>
        <w:rPr>
          <w:sz w:val="22"/>
        </w:rPr>
        <w:sectPr w:rsidR="00F50699" w:rsidSect="00165A89">
          <w:type w:val="continuous"/>
          <w:pgSz w:w="11906" w:h="16838"/>
          <w:pgMar w:top="1418" w:right="1701" w:bottom="1276" w:left="1701" w:header="720" w:footer="720" w:gutter="0"/>
          <w:cols w:num="2" w:space="709"/>
        </w:sectPr>
      </w:pPr>
    </w:p>
    <w:p w:rsidR="00493A2B" w:rsidRDefault="00E05090" w:rsidP="00165A89">
      <w:pPr>
        <w:rPr>
          <w:noProof/>
          <w:lang w:val="es-PE" w:eastAsia="es-PE"/>
        </w:rPr>
      </w:pPr>
      <w:r w:rsidRPr="00E05090">
        <w:rPr>
          <w:noProof/>
          <w:lang w:val="es-PE" w:eastAsia="es-PE"/>
        </w:rPr>
        <w:lastRenderedPageBreak/>
        <w:drawing>
          <wp:inline distT="0" distB="0" distL="0" distR="0">
            <wp:extent cx="2571750" cy="2276475"/>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5F6653">
        <w:rPr>
          <w:noProof/>
          <w:lang w:val="es-PE" w:eastAsia="es-PE"/>
        </w:rPr>
        <w:t xml:space="preserve">  </w:t>
      </w:r>
      <w:r w:rsidRPr="00E05090">
        <w:rPr>
          <w:noProof/>
          <w:lang w:val="es-PE" w:eastAsia="es-PE"/>
        </w:rPr>
        <w:drawing>
          <wp:inline distT="0" distB="0" distL="0" distR="0">
            <wp:extent cx="2571750" cy="2276475"/>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5F6653">
        <w:rPr>
          <w:noProof/>
          <w:lang w:val="es-PE" w:eastAsia="es-PE"/>
        </w:rPr>
        <w:t xml:space="preserve">                                                                         </w:t>
      </w:r>
      <w:r w:rsidR="00493A2B">
        <w:rPr>
          <w:noProof/>
          <w:lang w:val="es-PE" w:eastAsia="es-PE"/>
        </w:rPr>
        <w:br w:type="textWrapping" w:clear="all"/>
      </w:r>
    </w:p>
    <w:p w:rsidR="003F24B8" w:rsidRDefault="003F24B8" w:rsidP="003F24B8">
      <w:pPr>
        <w:rPr>
          <w:sz w:val="22"/>
          <w:szCs w:val="22"/>
        </w:rPr>
        <w:sectPr w:rsidR="003F24B8" w:rsidSect="00165A89">
          <w:type w:val="continuous"/>
          <w:pgSz w:w="11906" w:h="16838"/>
          <w:pgMar w:top="1418" w:right="1701" w:bottom="1276" w:left="1701" w:header="720" w:footer="720" w:gutter="0"/>
          <w:cols w:space="709"/>
        </w:sectPr>
      </w:pPr>
    </w:p>
    <w:p w:rsidR="00907111" w:rsidRDefault="00907111" w:rsidP="00D61BDC">
      <w:pPr>
        <w:rPr>
          <w:sz w:val="22"/>
          <w:szCs w:val="22"/>
        </w:rPr>
        <w:sectPr w:rsidR="00907111" w:rsidSect="00165A89">
          <w:headerReference w:type="default" r:id="rId26"/>
          <w:footerReference w:type="default" r:id="rId27"/>
          <w:type w:val="continuous"/>
          <w:pgSz w:w="11906" w:h="16838"/>
          <w:pgMar w:top="1418" w:right="1701" w:bottom="1276" w:left="1701" w:header="720" w:footer="720" w:gutter="0"/>
          <w:cols w:space="709"/>
        </w:sectPr>
      </w:pPr>
    </w:p>
    <w:p w:rsidR="00165A89" w:rsidRDefault="00165A89" w:rsidP="00D61BDC">
      <w:pPr>
        <w:jc w:val="center"/>
        <w:rPr>
          <w:sz w:val="22"/>
        </w:rPr>
        <w:sectPr w:rsidR="00165A89">
          <w:headerReference w:type="default" r:id="rId28"/>
          <w:footerReference w:type="default" r:id="rId29"/>
          <w:type w:val="continuous"/>
          <w:pgSz w:w="11906" w:h="16838"/>
          <w:pgMar w:top="1418" w:right="1701" w:bottom="1276" w:left="1701" w:header="720" w:footer="720" w:gutter="0"/>
          <w:cols w:space="720"/>
        </w:sectPr>
      </w:pPr>
    </w:p>
    <w:p w:rsidR="00D61BDC" w:rsidRDefault="00856D52" w:rsidP="00D61BDC">
      <w:pPr>
        <w:jc w:val="center"/>
        <w:rPr>
          <w:sz w:val="22"/>
        </w:rPr>
      </w:pPr>
      <w:r w:rsidRPr="003A5BDC">
        <w:rPr>
          <w:noProof/>
          <w:lang w:val="es-PE" w:eastAsia="es-PE"/>
        </w:rPr>
        <w:object w:dxaOrig="5699" w:dyaOrig="3482">
          <v:shape id="_x0000_i1027" type="#_x0000_t75" style="width:285pt;height:174pt" o:ole="">
            <v:imagedata r:id="rId30" o:title=""/>
          </v:shape>
          <o:OLEObject Type="Embed" ProgID="Excel.Sheet.8" ShapeID="_x0000_i1027" DrawAspect="Content" ObjectID="_1399363681" r:id="rId31"/>
        </w:obje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D804CE" w:rsidRDefault="00E05090" w:rsidP="00D804CE">
      <w:pPr>
        <w:rPr>
          <w:sz w:val="22"/>
          <w:szCs w:val="22"/>
        </w:rPr>
      </w:pPr>
      <w:r>
        <w:rPr>
          <w:rFonts w:ascii="Times" w:hAnsi="Times" w:cs="Arial"/>
          <w:sz w:val="22"/>
        </w:rPr>
        <w:lastRenderedPageBreak/>
        <w:t xml:space="preserve">En este mes, los </w:t>
      </w:r>
      <w:r>
        <w:rPr>
          <w:rFonts w:ascii="Times" w:hAnsi="Times" w:cs="Arial"/>
          <w:b/>
          <w:bCs/>
          <w:sz w:val="22"/>
        </w:rPr>
        <w:t>precios en chacra</w:t>
      </w:r>
      <w:r>
        <w:rPr>
          <w:rFonts w:ascii="Times" w:hAnsi="Times" w:cs="Arial"/>
          <w:sz w:val="22"/>
        </w:rPr>
        <w:t xml:space="preserve"> de los principales cultivos mostraron comportamientos alcistas respecto de marzo del 2011. En particular, dada la abrupta caída en la oferta, el precio del mango se incrementó en 334,3 por ciento. Por similar </w:t>
      </w:r>
      <w:r>
        <w:rPr>
          <w:rFonts w:ascii="Times" w:hAnsi="Times" w:cs="Arial"/>
          <w:sz w:val="22"/>
        </w:rPr>
        <w:lastRenderedPageBreak/>
        <w:t>razón, el precio de la papa se expandió en 65,5 por ciento. El precio del limón, a pesar de la recuperación de su producción, aumentó 37,5 por ciento en virtud a una mayor demanda</w:t>
      </w:r>
      <w:r w:rsidR="000F3E1A">
        <w:rPr>
          <w:rFonts w:ascii="Times" w:hAnsi="Times" w:cs="Arial"/>
          <w:sz w:val="22"/>
        </w:rPr>
        <w:t>.</w:t>
      </w:r>
    </w:p>
    <w:p w:rsidR="00D61BDC" w:rsidRDefault="00D61BDC" w:rsidP="00D61BDC">
      <w:pPr>
        <w:rPr>
          <w:sz w:val="22"/>
          <w:szCs w:val="22"/>
        </w:rPr>
      </w:pPr>
    </w:p>
    <w:p w:rsidR="00E05090" w:rsidRDefault="00E05090" w:rsidP="00D61BDC">
      <w:pPr>
        <w:rPr>
          <w:sz w:val="22"/>
          <w:szCs w:val="22"/>
        </w:rPr>
        <w:sectPr w:rsidR="00E05090">
          <w:headerReference w:type="default" r:id="rId32"/>
          <w:footerReference w:type="default" r:id="rId33"/>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E05090" w:rsidP="00D61BDC">
      <w:pPr>
        <w:pStyle w:val="Textoindependiente2"/>
        <w:tabs>
          <w:tab w:val="right" w:pos="8460"/>
        </w:tabs>
        <w:sectPr w:rsidR="00A3588F">
          <w:type w:val="continuous"/>
          <w:pgSz w:w="11906" w:h="16838"/>
          <w:pgMar w:top="1418" w:right="1701" w:bottom="1276" w:left="1701" w:header="720" w:footer="720" w:gutter="0"/>
          <w:cols w:space="720"/>
        </w:sectPr>
      </w:pPr>
      <w:r w:rsidRPr="00E05090">
        <w:rPr>
          <w:noProof/>
          <w:lang w:val="es-PE" w:eastAsia="es-PE"/>
        </w:rPr>
        <w:drawing>
          <wp:anchor distT="0" distB="0" distL="114300" distR="114300" simplePos="0" relativeHeight="251757056" behindDoc="0" locked="0" layoutInCell="1" allowOverlap="1">
            <wp:simplePos x="0" y="0"/>
            <wp:positionH relativeFrom="column">
              <wp:posOffset>3453765</wp:posOffset>
            </wp:positionH>
            <wp:positionV relativeFrom="paragraph">
              <wp:posOffset>425450</wp:posOffset>
            </wp:positionV>
            <wp:extent cx="1924050" cy="2133600"/>
            <wp:effectExtent l="19050" t="0" r="0" b="0"/>
            <wp:wrapNone/>
            <wp:docPr id="3071" name="Imagen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34" cstate="print"/>
                    <a:srcRect/>
                    <a:stretch>
                      <a:fillRect/>
                    </a:stretch>
                  </pic:blipFill>
                  <pic:spPr bwMode="auto">
                    <a:xfrm>
                      <a:off x="0" y="0"/>
                      <a:ext cx="1924050" cy="2133600"/>
                    </a:xfrm>
                    <a:prstGeom prst="rect">
                      <a:avLst/>
                    </a:prstGeom>
                    <a:noFill/>
                    <a:ln w="9525">
                      <a:noFill/>
                      <a:miter lim="800000"/>
                      <a:headEnd/>
                      <a:tailEnd/>
                    </a:ln>
                  </pic:spPr>
                </pic:pic>
              </a:graphicData>
            </a:graphic>
          </wp:anchor>
        </w:drawing>
      </w:r>
      <w:r>
        <w:object w:dxaOrig="4407" w:dyaOrig="6036">
          <v:shape id="_x0000_i1028" type="#_x0000_t75" style="width:220.5pt;height:301.5pt" o:ole="">
            <v:imagedata r:id="rId35" o:title=""/>
          </v:shape>
          <o:OLEObject Type="Embed" ProgID="Excel.Sheet.12" ShapeID="_x0000_i1028" DrawAspect="Content" ObjectID="_1399363682" r:id="rId36"/>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E05090" w:rsidP="00D61BDC">
      <w:pPr>
        <w:pStyle w:val="Textoindependiente2"/>
        <w:jc w:val="center"/>
        <w:rPr>
          <w:rFonts w:ascii="Helvetica" w:hAnsi="Helvetica"/>
          <w:sz w:val="22"/>
          <w:szCs w:val="22"/>
        </w:rPr>
      </w:pPr>
      <w:r w:rsidRPr="003A5BDC">
        <w:rPr>
          <w:rFonts w:ascii="Helvetica" w:hAnsi="Helvetica"/>
          <w:sz w:val="22"/>
          <w:szCs w:val="22"/>
        </w:rPr>
        <w:object w:dxaOrig="5449" w:dyaOrig="3237">
          <v:shape id="_x0000_i1029" type="#_x0000_t75" style="width:272.25pt;height:162pt" o:ole="">
            <v:imagedata r:id="rId37" o:title=""/>
          </v:shape>
          <o:OLEObject Type="Embed" ProgID="Excel.Sheet.12" ShapeID="_x0000_i1029" DrawAspect="Content" ObjectID="_1399363683" r:id="rId38"/>
        </w:object>
      </w:r>
    </w:p>
    <w:p w:rsidR="00DD02AC" w:rsidRDefault="00DD02AC" w:rsidP="00D61BDC">
      <w:pPr>
        <w:pStyle w:val="Textoindependiente2"/>
        <w:jc w:val="center"/>
        <w:rPr>
          <w:rFonts w:ascii="Helvetica" w:hAnsi="Helvetica"/>
          <w:sz w:val="22"/>
          <w:szCs w:val="22"/>
        </w:rPr>
      </w:pP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sectPr w:rsidR="00675AA8">
          <w:type w:val="continuous"/>
          <w:pgSz w:w="11906" w:h="16838"/>
          <w:pgMar w:top="1418" w:right="1701" w:bottom="1276" w:left="1701" w:header="720" w:footer="720" w:gutter="0"/>
          <w:cols w:space="720"/>
        </w:sectPr>
      </w:pPr>
    </w:p>
    <w:p w:rsidR="00E05090" w:rsidRDefault="00E05090" w:rsidP="00E05090">
      <w:pPr>
        <w:pStyle w:val="Textoindependiente"/>
        <w:rPr>
          <w:rFonts w:ascii="Times" w:hAnsi="Times" w:cs="Times"/>
          <w:sz w:val="22"/>
          <w:szCs w:val="22"/>
        </w:rPr>
      </w:pPr>
      <w:r>
        <w:rPr>
          <w:rFonts w:ascii="Times" w:hAnsi="Times" w:cs="Times"/>
          <w:sz w:val="22"/>
          <w:szCs w:val="22"/>
        </w:rPr>
        <w:lastRenderedPageBreak/>
        <w:t xml:space="preserve">En comparación con inicios del año pasado, en que se enfrentó un severo déficit hídrico, en esta oportunidad se han presentado lluvias excesivas que conllevaron el repunte de los ríos y reservorios de la región. La relativa </w:t>
      </w:r>
      <w:r w:rsidR="00501EFC">
        <w:rPr>
          <w:rFonts w:ascii="Times" w:hAnsi="Times" w:cs="Times"/>
          <w:sz w:val="22"/>
          <w:szCs w:val="22"/>
        </w:rPr>
        <w:t xml:space="preserve">disminución </w:t>
      </w:r>
      <w:r>
        <w:rPr>
          <w:rFonts w:ascii="Times" w:hAnsi="Times" w:cs="Times"/>
          <w:sz w:val="22"/>
          <w:szCs w:val="22"/>
        </w:rPr>
        <w:t>en la represa de Poechos simplemente refleja un manejo precautorio de la autoridad de riego, encaminado a evitar una sobresaturación de la misma en los momentos de mayores avenidas de los ríos; en este sentido, se espera que en abril se alcance la cota</w:t>
      </w:r>
      <w:r w:rsidR="00501EFC">
        <w:rPr>
          <w:rFonts w:ascii="Times" w:hAnsi="Times" w:cs="Times"/>
          <w:sz w:val="22"/>
          <w:szCs w:val="22"/>
        </w:rPr>
        <w:br w:type="column"/>
      </w:r>
      <w:r>
        <w:rPr>
          <w:rFonts w:ascii="Times" w:hAnsi="Times" w:cs="Times"/>
          <w:sz w:val="22"/>
          <w:szCs w:val="22"/>
        </w:rPr>
        <w:lastRenderedPageBreak/>
        <w:t>máxima de este vaso regulador.</w:t>
      </w:r>
    </w:p>
    <w:p w:rsidR="00E05090" w:rsidRDefault="00E05090" w:rsidP="00E05090">
      <w:pPr>
        <w:pStyle w:val="Textoindependiente"/>
        <w:rPr>
          <w:rFonts w:ascii="Times" w:hAnsi="Times" w:cs="Times"/>
          <w:sz w:val="22"/>
          <w:szCs w:val="22"/>
        </w:rPr>
      </w:pPr>
      <w:r>
        <w:rPr>
          <w:rFonts w:ascii="Times" w:hAnsi="Times" w:cs="Times"/>
          <w:sz w:val="22"/>
          <w:szCs w:val="22"/>
        </w:rPr>
        <w:t>En este contexto, las siembras de cultivos transitorios, en lo que va de la campaña agrícola, se expandieron en 15,5 por ciento respecto de la campaña anterior. En particular, la instalación de arroz aumentó en 13,8 por ciento; la de maíz amarillo duro, en 7,6 por ciento y la de frijol caupí, en 236,6 por ciento. Cabe señalar que estos dos últimos cultivos pudieron instalarse en régimen de secano, dada la presencia de lluvias.</w:t>
      </w:r>
    </w:p>
    <w:p w:rsidR="00FF2338" w:rsidRDefault="00FF2338" w:rsidP="00F50699">
      <w:pPr>
        <w:pStyle w:val="Textoindependiente"/>
        <w:rPr>
          <w:rFonts w:ascii="Times" w:hAnsi="Times" w:cs="Times"/>
          <w:sz w:val="22"/>
          <w:szCs w:val="22"/>
        </w:rPr>
        <w:sectPr w:rsidR="00FF2338" w:rsidSect="00E05090">
          <w:type w:val="continuous"/>
          <w:pgSz w:w="11906" w:h="16838"/>
          <w:pgMar w:top="1418" w:right="1701" w:bottom="1276" w:left="1701" w:header="720" w:footer="720" w:gutter="0"/>
          <w:cols w:num="2" w:space="709"/>
        </w:sectPr>
      </w:pPr>
    </w:p>
    <w:p w:rsidR="00F50699" w:rsidRDefault="00F50699" w:rsidP="00F50699">
      <w:pPr>
        <w:pStyle w:val="Textoindependiente"/>
        <w:rPr>
          <w:rFonts w:ascii="Times" w:hAnsi="Times" w:cs="Times"/>
          <w:sz w:val="22"/>
          <w:szCs w:val="22"/>
        </w:rPr>
      </w:pPr>
    </w:p>
    <w:p w:rsidR="00D804CE" w:rsidRDefault="00D804CE" w:rsidP="00D804CE">
      <w:pPr>
        <w:pStyle w:val="Textoindependiente"/>
        <w:rPr>
          <w:rFonts w:ascii="Times" w:hAnsi="Times" w:cs="Times"/>
          <w:sz w:val="22"/>
          <w:szCs w:val="22"/>
        </w:rPr>
      </w:pPr>
    </w:p>
    <w:p w:rsidR="00DD02AC" w:rsidRDefault="00DD02AC" w:rsidP="00D804CE">
      <w:pPr>
        <w:pStyle w:val="Textoindependiente"/>
        <w:rPr>
          <w:rFonts w:ascii="Times" w:hAnsi="Times" w:cs="Times"/>
          <w:sz w:val="22"/>
          <w:szCs w:val="22"/>
        </w:rPr>
        <w:sectPr w:rsidR="00DD02AC" w:rsidSect="00DD1094">
          <w:type w:val="continuous"/>
          <w:pgSz w:w="11906" w:h="16838"/>
          <w:pgMar w:top="1418" w:right="1701" w:bottom="1276" w:left="1701" w:header="720" w:footer="720" w:gutter="0"/>
          <w:cols w:num="2" w:space="709"/>
        </w:sectPr>
      </w:pPr>
    </w:p>
    <w:p w:rsidR="00DD02AC" w:rsidRDefault="00DD02AC" w:rsidP="00E15A60">
      <w:pPr>
        <w:pStyle w:val="Textoindependiente"/>
        <w:jc w:val="center"/>
      </w:pPr>
    </w:p>
    <w:p w:rsidR="00E15A60" w:rsidRDefault="00E05090"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55" w:dyaOrig="6482">
          <v:shape id="_x0000_i1030" type="#_x0000_t75" style="width:357.75pt;height:324pt" o:ole="">
            <v:imagedata r:id="rId39" o:title=""/>
          </v:shape>
          <o:OLEObject Type="Embed" ProgID="Excel.Sheet.12" ShapeID="_x0000_i1030" DrawAspect="Content" ObjectID="_1399363684" r:id="rId40"/>
        </w:object>
      </w:r>
    </w:p>
    <w:p w:rsidR="00D61BDC" w:rsidRDefault="00D61BDC" w:rsidP="00D61BDC">
      <w:pPr>
        <w:pStyle w:val="Textoindependiente"/>
        <w:rPr>
          <w:rFonts w:ascii="Times New Roman" w:hAnsi="Times New Roman"/>
          <w:sz w:val="22"/>
        </w:rPr>
        <w:sectPr w:rsidR="00D61BDC" w:rsidSect="00E15A60">
          <w:type w:val="continuous"/>
          <w:pgSz w:w="11906" w:h="16838"/>
          <w:pgMar w:top="1418" w:right="1701" w:bottom="1276" w:left="1701" w:header="720" w:footer="720" w:gutter="0"/>
          <w:cols w:space="709"/>
        </w:sectPr>
      </w:pPr>
    </w:p>
    <w:p w:rsidR="009A7C2F" w:rsidRDefault="00E05090" w:rsidP="00DD02AC">
      <w:pPr>
        <w:rPr>
          <w:sz w:val="22"/>
        </w:rPr>
      </w:pPr>
      <w:r>
        <w:rPr>
          <w:sz w:val="22"/>
        </w:rPr>
        <w:lastRenderedPageBreak/>
        <w:t xml:space="preserve">En este mes, el subsector pecuario creció </w:t>
      </w:r>
      <w:r w:rsidR="00D33F31">
        <w:rPr>
          <w:sz w:val="22"/>
        </w:rPr>
        <w:t>11,9</w:t>
      </w:r>
      <w:r>
        <w:rPr>
          <w:sz w:val="22"/>
        </w:rPr>
        <w:t xml:space="preserve"> por ciento en relación con análogo período del año pasado. </w:t>
      </w:r>
      <w:r w:rsidR="00D33F31">
        <w:rPr>
          <w:sz w:val="22"/>
        </w:rPr>
        <w:t xml:space="preserve">Esto respondió a la mayor producción de todas las especies cárnicas, así como de huevos y leche. En </w:t>
      </w:r>
      <w:r w:rsidR="00D33F31">
        <w:rPr>
          <w:sz w:val="22"/>
        </w:rPr>
        <w:lastRenderedPageBreak/>
        <w:t>particular, la producción de carne de aves se expandió en 19,0 por ciento y la de vacunos, en 6,8 por ciento. La ocurrencia de abundantes lluvias favoreció la regeneración de pastos naturales.</w:t>
      </w:r>
    </w:p>
    <w:p w:rsidR="00E05090" w:rsidRDefault="00E05090" w:rsidP="00DD02AC">
      <w:pPr>
        <w:rPr>
          <w:sz w:val="22"/>
        </w:rPr>
        <w:sectPr w:rsidR="00E05090" w:rsidSect="009A7C2F">
          <w:type w:val="continuous"/>
          <w:pgSz w:w="11906" w:h="16838"/>
          <w:pgMar w:top="1418" w:right="1701" w:bottom="1276" w:left="1701" w:header="720" w:footer="720" w:gutter="0"/>
          <w:cols w:num="2" w:space="709"/>
        </w:sectPr>
      </w:pPr>
    </w:p>
    <w:p w:rsidR="00DD02AC" w:rsidRPr="00DD02AC" w:rsidRDefault="00DD02AC" w:rsidP="00DD02AC">
      <w:pPr>
        <w:rPr>
          <w:sz w:val="22"/>
        </w:rPr>
      </w:pPr>
    </w:p>
    <w:p w:rsidR="00E15A60" w:rsidRPr="00E15A60" w:rsidRDefault="00E15A60" w:rsidP="00E15A60">
      <w:pPr>
        <w:rPr>
          <w:lang w:val="es-MX"/>
        </w:rPr>
      </w:pPr>
    </w:p>
    <w:p w:rsidR="00E15A60" w:rsidRDefault="00E15A60" w:rsidP="00E15A60">
      <w:pPr>
        <w:rPr>
          <w:lang w:val="es-MX"/>
        </w:rPr>
        <w:sectPr w:rsidR="00E15A60"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E15A60" w:rsidRPr="00E15A60" w:rsidRDefault="00E625C1" w:rsidP="00E15A60">
      <w:pPr>
        <w:jc w:val="center"/>
        <w:rPr>
          <w:lang w:val="es-MX"/>
        </w:rPr>
      </w:pPr>
      <w:r>
        <w:object w:dxaOrig="6862" w:dyaOrig="3700">
          <v:shape id="_x0000_i1031" type="#_x0000_t75" style="width:318pt;height:192.75pt" o:ole="">
            <v:imagedata r:id="rId41" o:title=""/>
            <o:lock v:ext="edit" aspectratio="f"/>
          </v:shape>
          <o:OLEObject Type="Embed" ProgID="Excel.Sheet.12" ShapeID="_x0000_i1031" DrawAspect="Content" ObjectID="_1399363685" r:id="rId42"/>
        </w:object>
      </w:r>
    </w:p>
    <w:p w:rsidR="00E15A60" w:rsidRPr="00E15A60" w:rsidRDefault="00E15A60" w:rsidP="00E15A60">
      <w:pPr>
        <w:rPr>
          <w:lang w:val="es-MX"/>
        </w:rPr>
      </w:pPr>
    </w:p>
    <w:p w:rsidR="00E15A60" w:rsidRPr="00E15A60" w:rsidRDefault="00E15A60" w:rsidP="00E15A60">
      <w:pPr>
        <w:jc w:val="center"/>
        <w:rPr>
          <w:lang w:val="es-MX"/>
        </w:rPr>
      </w:pPr>
    </w:p>
    <w:p w:rsidR="00D61BDC" w:rsidRDefault="00482FA5"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482FA5">
        <w:rPr>
          <w:szCs w:val="22"/>
        </w:rPr>
        <w:pict>
          <v:shape id="_x0000_i1032" type="#_x0000_t75" style="width:215.25pt;height:167.25pt">
            <v:imagedata r:id="rId43" o:title=""/>
          </v:shape>
        </w:pict>
      </w:r>
    </w:p>
    <w:p w:rsidR="00E15A60" w:rsidRDefault="00E15A60" w:rsidP="00E15A60"/>
    <w:p w:rsidR="00E15A60" w:rsidRDefault="00E15A60" w:rsidP="00E15A60"/>
    <w:p w:rsidR="00E15A60" w:rsidRDefault="00856D52" w:rsidP="00E15A60">
      <w:pPr>
        <w:rPr>
          <w:lang w:val="es-MX"/>
        </w:rPr>
      </w:pPr>
      <w:r w:rsidRPr="00856D52">
        <w:rPr>
          <w:noProof/>
          <w:lang w:val="es-PE" w:eastAsia="es-PE"/>
        </w:rPr>
        <w:drawing>
          <wp:inline distT="0" distB="0" distL="0" distR="0">
            <wp:extent cx="2181225" cy="2343150"/>
            <wp:effectExtent l="19050" t="0" r="9525" b="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4" cstate="print"/>
                    <a:srcRect/>
                    <a:stretch>
                      <a:fillRect/>
                    </a:stretch>
                  </pic:blipFill>
                  <pic:spPr bwMode="auto">
                    <a:xfrm>
                      <a:off x="0" y="0"/>
                      <a:ext cx="2181225" cy="2343150"/>
                    </a:xfrm>
                    <a:prstGeom prst="rect">
                      <a:avLst/>
                    </a:prstGeom>
                    <a:noFill/>
                    <a:ln w="9525">
                      <a:noFill/>
                      <a:miter lim="800000"/>
                      <a:headEnd/>
                      <a:tailEnd/>
                    </a:ln>
                  </pic:spPr>
                </pic:pic>
              </a:graphicData>
            </a:graphic>
          </wp:inline>
        </w:drawing>
      </w:r>
      <w:r w:rsidR="00E15A60">
        <w:t xml:space="preserve">    </w:t>
      </w:r>
      <w:r w:rsidR="00E15A60">
        <w:tab/>
      </w:r>
      <w:r w:rsidRPr="00856D52">
        <w:rPr>
          <w:noProof/>
          <w:lang w:val="es-PE" w:eastAsia="es-PE"/>
        </w:rPr>
        <w:drawing>
          <wp:inline distT="0" distB="0" distL="0" distR="0">
            <wp:extent cx="2314575" cy="2266950"/>
            <wp:effectExtent l="19050" t="0" r="9525"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5" cstate="print"/>
                    <a:srcRect/>
                    <a:stretch>
                      <a:fillRect/>
                    </a:stretch>
                  </pic:blipFill>
                  <pic:spPr bwMode="auto">
                    <a:xfrm>
                      <a:off x="0" y="0"/>
                      <a:ext cx="2314575" cy="2266950"/>
                    </a:xfrm>
                    <a:prstGeom prst="rect">
                      <a:avLst/>
                    </a:prstGeom>
                    <a:noFill/>
                    <a:ln w="9525">
                      <a:noFill/>
                      <a:miter lim="800000"/>
                      <a:headEnd/>
                      <a:tailEnd/>
                    </a:ln>
                  </pic:spPr>
                </pic:pic>
              </a:graphicData>
            </a:graphic>
          </wp:inline>
        </w:drawing>
      </w:r>
    </w:p>
    <w:p w:rsidR="00165A89" w:rsidRDefault="00D61BDC" w:rsidP="00165A89">
      <w:pPr>
        <w:rPr>
          <w:sz w:val="22"/>
        </w:rPr>
        <w:sectPr w:rsidR="00165A89" w:rsidSect="00E15A60">
          <w:type w:val="continuous"/>
          <w:pgSz w:w="11906" w:h="16838"/>
          <w:pgMar w:top="1418" w:right="1701" w:bottom="1276" w:left="1701" w:header="720" w:footer="720" w:gutter="0"/>
          <w:cols w:space="709"/>
        </w:sectPr>
      </w:pPr>
      <w:r>
        <w:rPr>
          <w:sz w:val="22"/>
        </w:rPr>
        <w:br w:type="page"/>
      </w:r>
    </w:p>
    <w:p w:rsidR="00E50D75" w:rsidRDefault="00E50D75" w:rsidP="00E50D75">
      <w:pPr>
        <w:rPr>
          <w:b/>
        </w:rPr>
      </w:pPr>
      <w:r w:rsidRPr="00D972D0">
        <w:rPr>
          <w:b/>
        </w:rPr>
        <w:lastRenderedPageBreak/>
        <w:t>1.1.2. Producción Pesquera</w:t>
      </w:r>
    </w:p>
    <w:p w:rsidR="00852557" w:rsidRDefault="00852557">
      <w:pPr>
        <w:jc w:val="center"/>
        <w:rPr>
          <w:rFonts w:ascii="Arial" w:hAnsi="Arial"/>
          <w:b/>
          <w:highlight w:val="yellow"/>
        </w:rPr>
      </w:pPr>
    </w:p>
    <w:p w:rsidR="00D972D0" w:rsidRDefault="00D972D0" w:rsidP="00E50D75">
      <w:pPr>
        <w:rPr>
          <w:sz w:val="22"/>
        </w:rPr>
        <w:sectPr w:rsidR="00D972D0">
          <w:headerReference w:type="first" r:id="rId46"/>
          <w:footerReference w:type="first" r:id="rId47"/>
          <w:type w:val="continuous"/>
          <w:pgSz w:w="11907" w:h="16840" w:code="9"/>
          <w:pgMar w:top="1701" w:right="1418" w:bottom="1418" w:left="1701" w:header="1134" w:footer="1134" w:gutter="0"/>
          <w:paperSrc w:first="15"/>
          <w:cols w:space="709"/>
          <w:titlePg/>
        </w:sectPr>
      </w:pPr>
    </w:p>
    <w:p w:rsidR="008D432F" w:rsidRDefault="00D972D0" w:rsidP="0011080F">
      <w:pPr>
        <w:rPr>
          <w:sz w:val="22"/>
        </w:rPr>
      </w:pPr>
      <w:r w:rsidRPr="00C73844">
        <w:rPr>
          <w:sz w:val="22"/>
        </w:rPr>
        <w:lastRenderedPageBreak/>
        <w:t xml:space="preserve">En </w:t>
      </w:r>
      <w:r>
        <w:rPr>
          <w:sz w:val="22"/>
        </w:rPr>
        <w:t>marzo</w:t>
      </w:r>
      <w:r w:rsidRPr="00C73844">
        <w:rPr>
          <w:sz w:val="22"/>
        </w:rPr>
        <w:t xml:space="preserve">, la </w:t>
      </w:r>
      <w:r w:rsidRPr="00C73844">
        <w:rPr>
          <w:b/>
          <w:bCs/>
          <w:sz w:val="22"/>
        </w:rPr>
        <w:t xml:space="preserve">producción pesquera </w:t>
      </w:r>
      <w:r>
        <w:rPr>
          <w:sz w:val="22"/>
        </w:rPr>
        <w:t>c</w:t>
      </w:r>
      <w:r w:rsidR="00DB53D8">
        <w:rPr>
          <w:sz w:val="22"/>
        </w:rPr>
        <w:t>reció</w:t>
      </w:r>
      <w:bookmarkStart w:id="8" w:name="_Hlt80436393"/>
      <w:bookmarkEnd w:id="8"/>
      <w:r w:rsidRPr="00B70F32">
        <w:rPr>
          <w:sz w:val="22"/>
        </w:rPr>
        <w:t xml:space="preserve"> </w:t>
      </w:r>
      <w:r>
        <w:rPr>
          <w:sz w:val="22"/>
        </w:rPr>
        <w:t>en</w:t>
      </w:r>
      <w:r w:rsidRPr="00B70F32">
        <w:rPr>
          <w:sz w:val="22"/>
        </w:rPr>
        <w:t xml:space="preserve"> </w:t>
      </w:r>
      <w:r w:rsidR="00DB53D8">
        <w:rPr>
          <w:sz w:val="22"/>
        </w:rPr>
        <w:t>13</w:t>
      </w:r>
      <w:r>
        <w:rPr>
          <w:sz w:val="22"/>
        </w:rPr>
        <w:t>,</w:t>
      </w:r>
      <w:r w:rsidR="00DB53D8">
        <w:rPr>
          <w:sz w:val="22"/>
        </w:rPr>
        <w:t>6</w:t>
      </w:r>
      <w:r>
        <w:rPr>
          <w:sz w:val="22"/>
        </w:rPr>
        <w:t xml:space="preserve"> </w:t>
      </w:r>
      <w:r w:rsidRPr="00B70F32">
        <w:rPr>
          <w:sz w:val="22"/>
        </w:rPr>
        <w:t>por ciento respecto de igual mes del año anterior</w:t>
      </w:r>
      <w:r>
        <w:rPr>
          <w:sz w:val="22"/>
        </w:rPr>
        <w:t>,</w:t>
      </w:r>
      <w:r w:rsidRPr="00B70F32">
        <w:rPr>
          <w:sz w:val="22"/>
        </w:rPr>
        <w:t xml:space="preserve"> </w:t>
      </w:r>
      <w:r>
        <w:rPr>
          <w:sz w:val="22"/>
        </w:rPr>
        <w:t>por el m</w:t>
      </w:r>
      <w:r w:rsidR="00DB53D8">
        <w:rPr>
          <w:sz w:val="22"/>
        </w:rPr>
        <w:t>ay</w:t>
      </w:r>
      <w:r>
        <w:rPr>
          <w:sz w:val="22"/>
        </w:rPr>
        <w:t xml:space="preserve">or desembarque de especies para </w:t>
      </w:r>
      <w:r w:rsidR="00DB53D8">
        <w:rPr>
          <w:sz w:val="22"/>
        </w:rPr>
        <w:t xml:space="preserve">fresco (63,9 por ciento) y </w:t>
      </w:r>
      <w:r>
        <w:rPr>
          <w:sz w:val="22"/>
        </w:rPr>
        <w:t>congelado (</w:t>
      </w:r>
      <w:r w:rsidR="00DB53D8">
        <w:rPr>
          <w:sz w:val="22"/>
        </w:rPr>
        <w:t xml:space="preserve">0,9 por ciento) que contrarrestó la caída en la pesca para </w:t>
      </w:r>
      <w:r>
        <w:rPr>
          <w:sz w:val="22"/>
        </w:rPr>
        <w:t xml:space="preserve">enlatado (-59,9 por ciento). </w:t>
      </w:r>
      <w:r w:rsidR="00DB53D8">
        <w:rPr>
          <w:sz w:val="22"/>
        </w:rPr>
        <w:t xml:space="preserve">Las condiciones oceanográficas (calentamiento de aguas) determinaron la redistribución espacial de las especies </w:t>
      </w:r>
      <w:r w:rsidR="00DB53D8">
        <w:rPr>
          <w:sz w:val="22"/>
        </w:rPr>
        <w:lastRenderedPageBreak/>
        <w:t>marinas; así, la pota se localizó en Sechura. Asimismo, cabe considerar que marzo del año pasado registró resultados relativamente adversos debido al enfriamiento de las aguas marinas y la presencia de</w:t>
      </w:r>
      <w:r w:rsidR="00651B74">
        <w:rPr>
          <w:sz w:val="22"/>
        </w:rPr>
        <w:t xml:space="preserve"> oleajes anómalos. De otro lado</w:t>
      </w:r>
      <w:r w:rsidR="00DB53D8">
        <w:rPr>
          <w:sz w:val="22"/>
        </w:rPr>
        <w:t xml:space="preserve">, siguió vigente la veda de anchoveta para harina. </w:t>
      </w:r>
      <w:r w:rsidR="00E21614">
        <w:rPr>
          <w:sz w:val="22"/>
        </w:rPr>
        <w:t>No obstante, e</w:t>
      </w:r>
      <w:r>
        <w:rPr>
          <w:sz w:val="22"/>
        </w:rPr>
        <w:t>n los tres primeros meses del año, el sector decreció en 1,</w:t>
      </w:r>
      <w:r w:rsidR="00DB53D8">
        <w:rPr>
          <w:sz w:val="22"/>
        </w:rPr>
        <w:t>5</w:t>
      </w:r>
      <w:r>
        <w:rPr>
          <w:sz w:val="22"/>
        </w:rPr>
        <w:t xml:space="preserve"> por ciento.</w:t>
      </w:r>
      <w:r w:rsidR="00944088">
        <w:rPr>
          <w:sz w:val="22"/>
        </w:rPr>
        <w:t xml:space="preserve"> </w:t>
      </w:r>
    </w:p>
    <w:p w:rsidR="00AF503B" w:rsidRDefault="00AF503B" w:rsidP="0011080F">
      <w:pPr>
        <w:rPr>
          <w:sz w:val="22"/>
        </w:rPr>
        <w:sectPr w:rsidR="00AF503B" w:rsidSect="0011080F">
          <w:type w:val="continuous"/>
          <w:pgSz w:w="11907" w:h="16840" w:code="9"/>
          <w:pgMar w:top="1701" w:right="1418" w:bottom="1418" w:left="1701" w:header="1134" w:footer="1134" w:gutter="0"/>
          <w:paperSrc w:first="15"/>
          <w:cols w:num="2" w:space="709"/>
          <w:titlePg/>
        </w:sectPr>
      </w:pPr>
    </w:p>
    <w:p w:rsidR="0011080F" w:rsidRDefault="0011080F" w:rsidP="008D432F">
      <w:pPr>
        <w:sectPr w:rsidR="0011080F">
          <w:type w:val="continuous"/>
          <w:pgSz w:w="11907" w:h="16840" w:code="9"/>
          <w:pgMar w:top="1701" w:right="1418" w:bottom="1418" w:left="1701" w:header="1134" w:footer="1134" w:gutter="0"/>
          <w:paperSrc w:first="15"/>
          <w:cols w:space="709"/>
          <w:titlePg/>
        </w:sectPr>
      </w:pPr>
    </w:p>
    <w:p w:rsidR="00E50D75" w:rsidRPr="00364026" w:rsidRDefault="00E50D75" w:rsidP="008D432F"/>
    <w:p w:rsidR="008D432F" w:rsidRDefault="00E21614" w:rsidP="00E50D75">
      <w:pPr>
        <w:jc w:val="center"/>
        <w:rPr>
          <w:b/>
        </w:rPr>
      </w:pPr>
      <w:r>
        <w:rPr>
          <w:b/>
        </w:rPr>
        <w:object w:dxaOrig="8228" w:dyaOrig="4708">
          <v:shape id="_x0000_i1064" type="#_x0000_t75" style="width:411.75pt;height:235.5pt" o:ole="">
            <v:imagedata r:id="rId48" o:title=""/>
          </v:shape>
          <o:OLEObject Type="Embed" ProgID="Excel.Sheet.12" ShapeID="_x0000_i1064" DrawAspect="Content" ObjectID="_1399363686" r:id="rId49"/>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E50D75" w:rsidRDefault="00DC1AE9" w:rsidP="00D972D0">
      <w:pPr>
        <w:jc w:val="left"/>
        <w:rPr>
          <w:b/>
        </w:rPr>
      </w:pPr>
      <w:r w:rsidRPr="006F6758">
        <w:rPr>
          <w:b/>
        </w:rPr>
        <w:lastRenderedPageBreak/>
        <w:t>1</w:t>
      </w:r>
      <w:r w:rsidR="00E50D75" w:rsidRPr="006F6758">
        <w:rPr>
          <w:b/>
        </w:rPr>
        <w:t>.1.3 Hidrocarburos</w:t>
      </w: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0"/>
          <w:footerReference w:type="default" r:id="rId51"/>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B906F0">
        <w:rPr>
          <w:rFonts w:ascii="Times New Roman" w:hAnsi="Times New Roman"/>
          <w:lang w:val="es-ES"/>
        </w:rPr>
        <w:t>marzo</w:t>
      </w:r>
      <w:r>
        <w:rPr>
          <w:rFonts w:ascii="Times New Roman" w:hAnsi="Times New Roman"/>
          <w:lang w:val="es-ES"/>
        </w:rPr>
        <w:t xml:space="preserve">, la producción de hidrocarburos </w:t>
      </w:r>
      <w:r w:rsidR="00B906F0">
        <w:rPr>
          <w:rFonts w:ascii="Times New Roman" w:hAnsi="Times New Roman"/>
          <w:lang w:val="es-ES"/>
        </w:rPr>
        <w:t>de</w:t>
      </w:r>
      <w:r>
        <w:rPr>
          <w:rFonts w:ascii="Times New Roman" w:hAnsi="Times New Roman"/>
          <w:lang w:val="es-ES"/>
        </w:rPr>
        <w:t xml:space="preserve">creció </w:t>
      </w:r>
      <w:r w:rsidR="00B906F0">
        <w:rPr>
          <w:rFonts w:ascii="Times New Roman" w:hAnsi="Times New Roman"/>
          <w:lang w:val="es-ES"/>
        </w:rPr>
        <w:t>4,2</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E</w:t>
      </w:r>
      <w:r>
        <w:rPr>
          <w:rFonts w:ascii="Times New Roman" w:hAnsi="Times New Roman"/>
          <w:lang w:val="es-ES"/>
        </w:rPr>
        <w:t>sto obedeció  a la m</w:t>
      </w:r>
      <w:r w:rsidR="00B906F0">
        <w:rPr>
          <w:rFonts w:ascii="Times New Roman" w:hAnsi="Times New Roman"/>
          <w:lang w:val="es-ES"/>
        </w:rPr>
        <w:t>enor</w:t>
      </w:r>
      <w:r>
        <w:rPr>
          <w:rFonts w:ascii="Times New Roman" w:hAnsi="Times New Roman"/>
          <w:lang w:val="es-ES"/>
        </w:rPr>
        <w:t xml:space="preserve"> extracción de </w:t>
      </w:r>
      <w:r w:rsidR="001F6ADC">
        <w:rPr>
          <w:rFonts w:ascii="Times New Roman" w:hAnsi="Times New Roman"/>
          <w:lang w:val="es-ES"/>
        </w:rPr>
        <w:t xml:space="preserve">petróleo crudo </w:t>
      </w:r>
      <w:r w:rsidR="004872E8">
        <w:rPr>
          <w:rFonts w:ascii="Times New Roman" w:hAnsi="Times New Roman"/>
          <w:lang w:val="es-ES"/>
        </w:rPr>
        <w:t>(</w:t>
      </w:r>
      <w:r w:rsidR="00B906F0">
        <w:rPr>
          <w:rFonts w:ascii="Times New Roman" w:hAnsi="Times New Roman"/>
          <w:lang w:val="es-ES"/>
        </w:rPr>
        <w:t>-</w:t>
      </w:r>
      <w:r w:rsidR="001263E0">
        <w:rPr>
          <w:rFonts w:ascii="Times New Roman" w:hAnsi="Times New Roman"/>
          <w:lang w:val="es-ES"/>
        </w:rPr>
        <w:t>1,</w:t>
      </w:r>
      <w:r w:rsidR="00B906F0">
        <w:rPr>
          <w:rFonts w:ascii="Times New Roman" w:hAnsi="Times New Roman"/>
          <w:lang w:val="es-ES"/>
        </w:rPr>
        <w:t>8</w:t>
      </w:r>
      <w:r w:rsidR="004872E8">
        <w:rPr>
          <w:rFonts w:ascii="Times New Roman" w:hAnsi="Times New Roman"/>
          <w:lang w:val="es-ES"/>
        </w:rPr>
        <w:t xml:space="preserve"> por </w:t>
      </w:r>
      <w:r w:rsidR="004872E8">
        <w:rPr>
          <w:rFonts w:ascii="Times New Roman" w:hAnsi="Times New Roman"/>
          <w:lang w:val="es-ES"/>
        </w:rPr>
        <w:lastRenderedPageBreak/>
        <w:t>ciento</w:t>
      </w:r>
      <w:r w:rsidR="008D432F">
        <w:rPr>
          <w:rFonts w:ascii="Times New Roman" w:hAnsi="Times New Roman"/>
          <w:lang w:val="es-ES"/>
        </w:rPr>
        <w:t>)</w:t>
      </w:r>
      <w:r w:rsidR="00B906F0">
        <w:rPr>
          <w:rFonts w:ascii="Times New Roman" w:hAnsi="Times New Roman"/>
          <w:lang w:val="es-ES"/>
        </w:rPr>
        <w:t xml:space="preserve"> y de gas natural (-26,6 por ciento)</w:t>
      </w:r>
      <w:r w:rsidR="008D432F">
        <w:rPr>
          <w:rFonts w:ascii="Times New Roman" w:hAnsi="Times New Roman"/>
          <w:lang w:val="es-ES"/>
        </w:rPr>
        <w:t>.</w:t>
      </w:r>
      <w:r w:rsidR="001263E0">
        <w:rPr>
          <w:rFonts w:ascii="Times New Roman" w:hAnsi="Times New Roman"/>
          <w:lang w:val="es-ES"/>
        </w:rPr>
        <w:t xml:space="preserve"> En el primer </w:t>
      </w:r>
      <w:r w:rsidR="00B906F0">
        <w:rPr>
          <w:rFonts w:ascii="Times New Roman" w:hAnsi="Times New Roman"/>
          <w:lang w:val="es-ES"/>
        </w:rPr>
        <w:t>tr</w:t>
      </w:r>
      <w:r w:rsidR="001263E0">
        <w:rPr>
          <w:rFonts w:ascii="Times New Roman" w:hAnsi="Times New Roman"/>
          <w:lang w:val="es-ES"/>
        </w:rPr>
        <w:t xml:space="preserve">imestre, el sector se contrajo en </w:t>
      </w:r>
      <w:r w:rsidR="00B906F0">
        <w:rPr>
          <w:rFonts w:ascii="Times New Roman" w:hAnsi="Times New Roman"/>
          <w:lang w:val="es-ES"/>
        </w:rPr>
        <w:t>1</w:t>
      </w:r>
      <w:r w:rsidR="001263E0">
        <w:rPr>
          <w:rFonts w:ascii="Times New Roman" w:hAnsi="Times New Roman"/>
          <w:lang w:val="es-ES"/>
        </w:rPr>
        <w:t>,</w:t>
      </w:r>
      <w:r w:rsidR="00B906F0">
        <w:rPr>
          <w:rFonts w:ascii="Times New Roman" w:hAnsi="Times New Roman"/>
          <w:lang w:val="es-ES"/>
        </w:rPr>
        <w:t>8</w:t>
      </w:r>
      <w:r w:rsidR="001263E0">
        <w:rPr>
          <w:rFonts w:ascii="Times New Roman" w:hAnsi="Times New Roman"/>
          <w:lang w:val="es-ES"/>
        </w:rPr>
        <w:t xml:space="preserve"> por ciento.</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B906F0"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2D1C24">
        <w:rPr>
          <w:rFonts w:ascii="Times New Roman" w:hAnsi="Times New Roman"/>
          <w:color w:val="FF0000"/>
          <w:lang w:val="es-ES"/>
        </w:rPr>
        <w:object w:dxaOrig="8925" w:dyaOrig="5781">
          <v:shape id="_x0000_i1033" type="#_x0000_t75" style="width:446.25pt;height:288.75pt" o:ole="">
            <v:imagedata r:id="rId52" o:title=""/>
          </v:shape>
          <o:OLEObject Type="Embed" ProgID="Excel.Sheet.8" ShapeID="_x0000_i1033" DrawAspect="Content" ObjectID="_1399363687" r:id="rId53"/>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82FA5">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61.9pt;margin-top:3.15pt;width:321.05pt;height:224.95pt;z-index:251753984" fillcolor="#4f81bd">
            <v:imagedata r:id="rId54" o:title=""/>
            <v:shadow color="#eeece1"/>
          </v:shape>
          <o:OLEObject Type="Embed" ProgID="Excel.Sheet.12" ShapeID="Object 7" DrawAspect="Content" ObjectID="_1399363715" r:id="rId55"/>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D432F" w:rsidRDefault="008D432F">
      <w:pPr>
        <w:pStyle w:val="SBS"/>
        <w:rPr>
          <w:rFonts w:ascii="Times New Roman" w:hAnsi="Times New Roman"/>
          <w:color w:val="FF0000"/>
          <w:lang w:val="es-ES"/>
        </w:rPr>
        <w:sectPr w:rsidR="008D432F">
          <w:type w:val="continuous"/>
          <w:pgSz w:w="11907" w:h="16840" w:code="9"/>
          <w:pgMar w:top="1701" w:right="1418" w:bottom="1418" w:left="1701" w:header="1134" w:footer="1134" w:gutter="0"/>
          <w:paperSrc w:first="15"/>
          <w:cols w:space="720"/>
          <w:titlePg/>
        </w:sectPr>
      </w:pPr>
    </w:p>
    <w:p w:rsidR="00852557" w:rsidRPr="00E625C1" w:rsidRDefault="00852557">
      <w:pPr>
        <w:numPr>
          <w:ilvl w:val="2"/>
          <w:numId w:val="4"/>
        </w:numPr>
        <w:rPr>
          <w:b/>
        </w:rPr>
      </w:pPr>
      <w:r w:rsidRPr="00E625C1">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56"/>
          <w:footerReference w:type="default" r:id="rId57"/>
          <w:type w:val="continuous"/>
          <w:pgSz w:w="11906" w:h="16838"/>
          <w:pgMar w:top="1417" w:right="1701" w:bottom="1417" w:left="1701" w:header="720" w:footer="720" w:gutter="0"/>
          <w:cols w:space="720"/>
        </w:sectPr>
      </w:pPr>
    </w:p>
    <w:p w:rsidR="00FC66B9" w:rsidRDefault="00090DE0" w:rsidP="00FC66B9">
      <w:pPr>
        <w:rPr>
          <w:sz w:val="22"/>
          <w:szCs w:val="22"/>
          <w:lang w:val="es-PE"/>
        </w:rPr>
      </w:pPr>
      <w:r>
        <w:rPr>
          <w:sz w:val="22"/>
          <w:szCs w:val="22"/>
          <w:lang w:val="es-PE"/>
        </w:rPr>
        <w:lastRenderedPageBreak/>
        <w:t xml:space="preserve">En marzo, la actividad industrial se contrajo en </w:t>
      </w:r>
      <w:r w:rsidR="0038767D">
        <w:rPr>
          <w:sz w:val="22"/>
          <w:szCs w:val="22"/>
          <w:lang w:val="es-PE"/>
        </w:rPr>
        <w:t>0</w:t>
      </w:r>
      <w:r>
        <w:rPr>
          <w:sz w:val="22"/>
          <w:szCs w:val="22"/>
          <w:lang w:val="es-PE"/>
        </w:rPr>
        <w:t>,</w:t>
      </w:r>
      <w:r w:rsidR="0038767D">
        <w:rPr>
          <w:sz w:val="22"/>
          <w:szCs w:val="22"/>
          <w:lang w:val="es-PE"/>
        </w:rPr>
        <w:t>9</w:t>
      </w:r>
      <w:r>
        <w:rPr>
          <w:sz w:val="22"/>
          <w:szCs w:val="22"/>
          <w:lang w:val="es-PE"/>
        </w:rPr>
        <w:t xml:space="preserve"> por ciento respecto de similar mes del año pasado. Esto obedeció a la caída en el procesamiento primario de recursos (-</w:t>
      </w:r>
      <w:r w:rsidR="0038767D">
        <w:rPr>
          <w:sz w:val="22"/>
          <w:szCs w:val="22"/>
          <w:lang w:val="es-PE"/>
        </w:rPr>
        <w:t>0</w:t>
      </w:r>
      <w:r>
        <w:rPr>
          <w:sz w:val="22"/>
          <w:szCs w:val="22"/>
          <w:lang w:val="es-PE"/>
        </w:rPr>
        <w:t>,8 por ciento) y</w:t>
      </w:r>
      <w:r w:rsidR="0038767D">
        <w:rPr>
          <w:sz w:val="22"/>
          <w:szCs w:val="22"/>
          <w:lang w:val="es-PE"/>
        </w:rPr>
        <w:t xml:space="preserve"> en </w:t>
      </w:r>
      <w:r>
        <w:rPr>
          <w:sz w:val="22"/>
          <w:szCs w:val="22"/>
          <w:lang w:val="es-PE"/>
        </w:rPr>
        <w:t xml:space="preserve">la manufactura no primaria </w:t>
      </w:r>
      <w:r>
        <w:rPr>
          <w:sz w:val="22"/>
          <w:szCs w:val="22"/>
          <w:lang w:val="es-PE"/>
        </w:rPr>
        <w:lastRenderedPageBreak/>
        <w:t xml:space="preserve">(-1,6 por ciento). En el primer trimestre, el sector retrocedió en </w:t>
      </w:r>
      <w:r w:rsidR="0038767D">
        <w:rPr>
          <w:sz w:val="22"/>
          <w:szCs w:val="22"/>
          <w:lang w:val="es-PE"/>
        </w:rPr>
        <w:t>0</w:t>
      </w:r>
      <w:r>
        <w:rPr>
          <w:sz w:val="22"/>
          <w:szCs w:val="22"/>
          <w:lang w:val="es-PE"/>
        </w:rPr>
        <w:t>,</w:t>
      </w:r>
      <w:r w:rsidR="0038767D">
        <w:rPr>
          <w:sz w:val="22"/>
          <w:szCs w:val="22"/>
          <w:lang w:val="es-PE"/>
        </w:rPr>
        <w:t>8</w:t>
      </w:r>
      <w:r>
        <w:rPr>
          <w:sz w:val="22"/>
          <w:szCs w:val="22"/>
          <w:lang w:val="es-PE"/>
        </w:rPr>
        <w:t xml:space="preserve"> puntos porcentuales con relación a análogo período del año anterior</w:t>
      </w:r>
      <w:r w:rsidR="00214BC3">
        <w:rPr>
          <w:sz w:val="22"/>
          <w:szCs w:val="22"/>
          <w:lang w:val="es-PE"/>
        </w:rPr>
        <w:t>.</w:t>
      </w: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38767D">
      <w:pPr>
        <w:jc w:val="center"/>
      </w:pPr>
      <w:r>
        <w:object w:dxaOrig="5655" w:dyaOrig="3073">
          <v:shape id="_x0000_i1061" type="#_x0000_t75" style="width:262.5pt;height:158.25pt" o:ole="">
            <v:imagedata r:id="rId58" o:title=""/>
            <o:lock v:ext="edit" aspectratio="f"/>
          </v:shape>
          <o:OLEObject Type="Embed" ProgID="Excel.Sheet.12" ShapeID="_x0000_i1061" DrawAspect="Content" ObjectID="_1399363688" r:id="rId59"/>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AC150F" w:rsidRDefault="00090DE0" w:rsidP="00090DE0">
      <w:pPr>
        <w:rPr>
          <w:sz w:val="22"/>
          <w:szCs w:val="22"/>
          <w:lang w:val="es-PE"/>
        </w:rPr>
      </w:pPr>
      <w:r>
        <w:rPr>
          <w:sz w:val="22"/>
          <w:szCs w:val="22"/>
          <w:lang w:val="es-PE"/>
        </w:rPr>
        <w:lastRenderedPageBreak/>
        <w:t xml:space="preserve">El desempeño negativo de la actividad fabril primaria respondió a la caída de la industria pesquera ocasionada por la escasa disponibilidad de materia prima a raíz del calentamiento de aguas marinas. Así, la producción de harina </w:t>
      </w:r>
      <w:r w:rsidR="0038767D">
        <w:rPr>
          <w:sz w:val="22"/>
          <w:szCs w:val="22"/>
          <w:lang w:val="es-PE"/>
        </w:rPr>
        <w:t xml:space="preserve">y aceite </w:t>
      </w:r>
      <w:r>
        <w:rPr>
          <w:sz w:val="22"/>
          <w:szCs w:val="22"/>
          <w:lang w:val="es-PE"/>
        </w:rPr>
        <w:t>de pescado se contrajo en 100,0 por ciento</w:t>
      </w:r>
      <w:r w:rsidR="0038767D">
        <w:rPr>
          <w:sz w:val="22"/>
          <w:szCs w:val="22"/>
          <w:lang w:val="es-PE"/>
        </w:rPr>
        <w:t xml:space="preserve"> y </w:t>
      </w:r>
      <w:r>
        <w:rPr>
          <w:sz w:val="22"/>
          <w:szCs w:val="22"/>
          <w:lang w:val="es-PE"/>
        </w:rPr>
        <w:t xml:space="preserve"> la de </w:t>
      </w:r>
      <w:r>
        <w:rPr>
          <w:sz w:val="22"/>
          <w:szCs w:val="22"/>
          <w:lang w:val="es-PE"/>
        </w:rPr>
        <w:lastRenderedPageBreak/>
        <w:t>conservas, en 62,5 por ciento.</w:t>
      </w:r>
      <w:r w:rsidR="0038767D">
        <w:rPr>
          <w:sz w:val="22"/>
          <w:szCs w:val="22"/>
          <w:lang w:val="es-PE"/>
        </w:rPr>
        <w:t xml:space="preserve"> </w:t>
      </w:r>
      <w:r>
        <w:rPr>
          <w:sz w:val="22"/>
          <w:szCs w:val="22"/>
          <w:lang w:val="es-PE"/>
        </w:rPr>
        <w:t>En parte, ello fue compensado por la recuperación de la refinación de petróleo. En particular, la producción de diesel se expandió en 13,4 por ciento y la de gasolinas, en 14,5 por ciento.</w:t>
      </w:r>
    </w:p>
    <w:p w:rsidR="0038767D" w:rsidRDefault="0038767D" w:rsidP="00090DE0">
      <w:pPr>
        <w:rPr>
          <w:sz w:val="22"/>
          <w:szCs w:val="22"/>
          <w:lang w:val="es-PE"/>
        </w:rPr>
        <w:sectPr w:rsidR="0038767D" w:rsidSect="00961490">
          <w:type w:val="continuous"/>
          <w:pgSz w:w="11906" w:h="16838"/>
          <w:pgMar w:top="1417" w:right="1701" w:bottom="1417" w:left="1701" w:header="708" w:footer="708" w:gutter="0"/>
          <w:cols w:num="2" w:space="709"/>
          <w:docGrid w:linePitch="360"/>
        </w:sectPr>
      </w:pPr>
    </w:p>
    <w:p w:rsidR="00FC66B9" w:rsidRDefault="00FC66B9" w:rsidP="00FC66B9">
      <w:pPr>
        <w:rPr>
          <w:sz w:val="22"/>
          <w:szCs w:val="22"/>
        </w:rPr>
        <w:sectPr w:rsidR="00FC66B9" w:rsidSect="001B5371">
          <w:type w:val="continuous"/>
          <w:pgSz w:w="11906" w:h="16838"/>
          <w:pgMar w:top="1417" w:right="1701" w:bottom="1417" w:left="1701" w:header="708" w:footer="708" w:gutter="0"/>
          <w:cols w:num="2" w:space="709"/>
          <w:docGrid w:linePitch="360"/>
        </w:sectPr>
      </w:pPr>
      <w:r>
        <w:rPr>
          <w:sz w:val="22"/>
          <w:szCs w:val="22"/>
        </w:rPr>
        <w:lastRenderedPageBreak/>
        <w:t xml:space="preserve"> </w:t>
      </w:r>
    </w:p>
    <w:p w:rsidR="00A769FE" w:rsidRDefault="00A769FE" w:rsidP="00985ACD"/>
    <w:p w:rsidR="00A769FE" w:rsidRDefault="00A769FE" w:rsidP="00985ACD"/>
    <w:p w:rsidR="00A769FE" w:rsidRDefault="00A769FE" w:rsidP="00985ACD">
      <w:pPr>
        <w:sectPr w:rsidR="00A769FE" w:rsidSect="000746D5">
          <w:type w:val="continuous"/>
          <w:pgSz w:w="11906" w:h="16838"/>
          <w:pgMar w:top="1417" w:right="1701" w:bottom="1417" w:left="1701" w:header="708" w:footer="708" w:gutter="0"/>
          <w:cols w:num="2" w:space="709"/>
          <w:docGrid w:linePitch="360"/>
        </w:sectPr>
      </w:pPr>
    </w:p>
    <w:p w:rsidR="00A769FE" w:rsidRDefault="0038767D" w:rsidP="00A769FE">
      <w:pPr>
        <w:jc w:val="center"/>
        <w:sectPr w:rsidR="00A769FE" w:rsidSect="00A769FE">
          <w:type w:val="continuous"/>
          <w:pgSz w:w="11906" w:h="16838"/>
          <w:pgMar w:top="1417" w:right="1701" w:bottom="1417" w:left="1701" w:header="708" w:footer="708" w:gutter="0"/>
          <w:cols w:space="709"/>
          <w:docGrid w:linePitch="360"/>
        </w:sectPr>
      </w:pPr>
      <w:r>
        <w:object w:dxaOrig="8783" w:dyaOrig="5114">
          <v:shape id="_x0000_i1062" type="#_x0000_t75" style="width:411pt;height:255.75pt" o:ole="">
            <v:imagedata r:id="rId60" o:title=""/>
            <o:lock v:ext="edit" aspectratio="f"/>
          </v:shape>
          <o:OLEObject Type="Embed" ProgID="Excel.Sheet.12" ShapeID="_x0000_i1062" DrawAspect="Content" ObjectID="_1399363689" r:id="rId61"/>
        </w:object>
      </w:r>
    </w:p>
    <w:p w:rsidR="00985ACD" w:rsidRDefault="00985ACD" w:rsidP="00985ACD"/>
    <w:p w:rsidR="00F36DDC" w:rsidRDefault="00F36DDC" w:rsidP="00F36DDC"/>
    <w:p w:rsidR="00443DB8" w:rsidRDefault="00443DB8" w:rsidP="00214BC3">
      <w:pPr>
        <w:rPr>
          <w:sz w:val="22"/>
          <w:szCs w:val="22"/>
        </w:rPr>
        <w:sectPr w:rsidR="00443DB8" w:rsidSect="00F83C45">
          <w:type w:val="continuous"/>
          <w:pgSz w:w="11906" w:h="16838"/>
          <w:pgMar w:top="1417" w:right="1701" w:bottom="180" w:left="1701" w:header="708" w:footer="708" w:gutter="0"/>
          <w:cols w:num="2" w:space="720"/>
          <w:docGrid w:linePitch="360"/>
        </w:sectPr>
      </w:pPr>
    </w:p>
    <w:p w:rsidR="00090DE0" w:rsidRPr="00BC5DF7" w:rsidRDefault="00090DE0" w:rsidP="00090DE0">
      <w:pPr>
        <w:rPr>
          <w:sz w:val="22"/>
          <w:szCs w:val="22"/>
        </w:rPr>
      </w:pPr>
      <w:r w:rsidRPr="00BC5DF7">
        <w:rPr>
          <w:sz w:val="22"/>
          <w:szCs w:val="22"/>
        </w:rPr>
        <w:lastRenderedPageBreak/>
        <w:t xml:space="preserve">La manufactura no primaria decreció ligeramente debido a la menor producción de aceites comestibles (-52,8 por ciento), </w:t>
      </w:r>
      <w:r w:rsidRPr="00DF5210">
        <w:rPr>
          <w:sz w:val="22"/>
          <w:szCs w:val="22"/>
        </w:rPr>
        <w:t>arroz pilado</w:t>
      </w:r>
      <w:r w:rsidRPr="00BC5DF7">
        <w:rPr>
          <w:sz w:val="22"/>
          <w:szCs w:val="22"/>
        </w:rPr>
        <w:t xml:space="preserve"> (-7,1 por ciento), jugos de fruta (-100,0 por ciento) e hilados de algodón </w:t>
      </w:r>
      <w:r>
        <w:rPr>
          <w:sz w:val="22"/>
          <w:szCs w:val="22"/>
        </w:rPr>
        <w:t xml:space="preserve">    </w:t>
      </w:r>
      <w:r w:rsidRPr="00BC5DF7">
        <w:rPr>
          <w:sz w:val="22"/>
          <w:szCs w:val="22"/>
        </w:rPr>
        <w:t xml:space="preserve">(-46,1 por ciento). </w:t>
      </w:r>
    </w:p>
    <w:p w:rsidR="00090DE0" w:rsidRDefault="00090DE0" w:rsidP="00090DE0">
      <w:pPr>
        <w:rPr>
          <w:sz w:val="22"/>
          <w:szCs w:val="22"/>
        </w:rPr>
      </w:pPr>
    </w:p>
    <w:p w:rsidR="00090DE0" w:rsidRDefault="00090DE0" w:rsidP="00090DE0">
      <w:pPr>
        <w:rPr>
          <w:sz w:val="22"/>
          <w:szCs w:val="22"/>
        </w:rPr>
      </w:pPr>
      <w:r>
        <w:rPr>
          <w:sz w:val="22"/>
          <w:szCs w:val="22"/>
        </w:rPr>
        <w:t>En el caso del arroz pilado, las cosechas de este cereal se realizaron en enero y febrero y, en línea con esto, a pesar de la caída mensual, la producción del primer trimestre se incrementó.</w:t>
      </w:r>
    </w:p>
    <w:p w:rsidR="00090DE0" w:rsidRPr="00BC5DF7" w:rsidRDefault="00090DE0" w:rsidP="00090DE0">
      <w:pPr>
        <w:rPr>
          <w:sz w:val="22"/>
          <w:szCs w:val="22"/>
        </w:rPr>
      </w:pPr>
    </w:p>
    <w:p w:rsidR="00090DE0" w:rsidRPr="00BC5DF7" w:rsidRDefault="00090DE0" w:rsidP="00090DE0">
      <w:pPr>
        <w:rPr>
          <w:sz w:val="22"/>
          <w:szCs w:val="22"/>
        </w:rPr>
      </w:pPr>
      <w:r w:rsidRPr="00BC5DF7">
        <w:rPr>
          <w:sz w:val="22"/>
          <w:szCs w:val="22"/>
        </w:rPr>
        <w:t xml:space="preserve">La rama de hilados de algodón sigue enfrentando un debilitamiento de los mercados externo e interno que  conllevó al cierre de un turno y </w:t>
      </w:r>
      <w:r>
        <w:rPr>
          <w:sz w:val="22"/>
          <w:szCs w:val="22"/>
        </w:rPr>
        <w:t xml:space="preserve">a </w:t>
      </w:r>
      <w:r w:rsidRPr="00BC5DF7">
        <w:rPr>
          <w:sz w:val="22"/>
          <w:szCs w:val="22"/>
        </w:rPr>
        <w:t xml:space="preserve">operar sólo a la mitad </w:t>
      </w:r>
      <w:r>
        <w:rPr>
          <w:sz w:val="22"/>
          <w:szCs w:val="22"/>
        </w:rPr>
        <w:br w:type="column"/>
      </w:r>
      <w:r w:rsidRPr="00BC5DF7">
        <w:rPr>
          <w:sz w:val="22"/>
          <w:szCs w:val="22"/>
        </w:rPr>
        <w:lastRenderedPageBreak/>
        <w:t xml:space="preserve">de su capacidad máxima. </w:t>
      </w:r>
    </w:p>
    <w:p w:rsidR="00090DE0" w:rsidRPr="00BC5DF7" w:rsidRDefault="00090DE0" w:rsidP="00090DE0">
      <w:pPr>
        <w:rPr>
          <w:sz w:val="22"/>
          <w:szCs w:val="22"/>
        </w:rPr>
      </w:pPr>
    </w:p>
    <w:p w:rsidR="00090DE0" w:rsidRPr="00BC5DF7" w:rsidRDefault="00090DE0" w:rsidP="00090DE0">
      <w:pPr>
        <w:rPr>
          <w:sz w:val="22"/>
          <w:szCs w:val="22"/>
        </w:rPr>
      </w:pPr>
      <w:r w:rsidRPr="00BC5DF7">
        <w:rPr>
          <w:sz w:val="22"/>
          <w:szCs w:val="22"/>
        </w:rPr>
        <w:t xml:space="preserve">En contraste, se observó </w:t>
      </w:r>
      <w:r>
        <w:rPr>
          <w:sz w:val="22"/>
          <w:szCs w:val="22"/>
        </w:rPr>
        <w:t xml:space="preserve">una </w:t>
      </w:r>
      <w:r w:rsidRPr="00BC5DF7">
        <w:rPr>
          <w:sz w:val="22"/>
          <w:szCs w:val="22"/>
        </w:rPr>
        <w:t>recuperación en las ramas de aceite esencial de limón (360,8 por ciento), cáscara deshidratada de limón (51,3 por ciento), oleína (200,9 por ciento) y harina de trigo (26,8 por ciento).</w:t>
      </w:r>
    </w:p>
    <w:p w:rsidR="00090DE0" w:rsidRPr="00BC5DF7" w:rsidRDefault="00090DE0" w:rsidP="00090DE0">
      <w:pPr>
        <w:rPr>
          <w:sz w:val="22"/>
          <w:szCs w:val="22"/>
        </w:rPr>
      </w:pPr>
    </w:p>
    <w:p w:rsidR="00090DE0" w:rsidRPr="00BC5DF7" w:rsidRDefault="00090DE0" w:rsidP="00090DE0">
      <w:pPr>
        <w:rPr>
          <w:sz w:val="22"/>
          <w:szCs w:val="22"/>
        </w:rPr>
      </w:pPr>
      <w:r w:rsidRPr="00BC5DF7">
        <w:rPr>
          <w:sz w:val="22"/>
          <w:szCs w:val="22"/>
        </w:rPr>
        <w:t xml:space="preserve">La industria de derivados del limón fue favorecida por una mejor disponibilidad del cítrico respecto de similar época del año pasado, así como por un comportamiento favorable del mercado externo. </w:t>
      </w:r>
    </w:p>
    <w:p w:rsidR="00090DE0" w:rsidRPr="00BC5DF7" w:rsidRDefault="00090DE0" w:rsidP="00090DE0">
      <w:pPr>
        <w:rPr>
          <w:sz w:val="22"/>
          <w:szCs w:val="22"/>
        </w:rPr>
      </w:pPr>
    </w:p>
    <w:p w:rsidR="00BA7998" w:rsidRDefault="00090DE0" w:rsidP="00090DE0">
      <w:pPr>
        <w:rPr>
          <w:sz w:val="22"/>
          <w:szCs w:val="22"/>
        </w:rPr>
      </w:pPr>
      <w:r w:rsidRPr="00BC5DF7">
        <w:rPr>
          <w:sz w:val="22"/>
          <w:szCs w:val="22"/>
        </w:rPr>
        <w:t>De otro lado, la rama de oleína tendió a una normalización de su desempeño, luego del reciente cambio de propietario.</w:t>
      </w:r>
      <w:r w:rsidR="00443DB8">
        <w:rPr>
          <w:sz w:val="22"/>
          <w:szCs w:val="22"/>
        </w:rPr>
        <w:t>.</w:t>
      </w:r>
    </w:p>
    <w:p w:rsidR="00BA7998" w:rsidRDefault="00BA7998" w:rsidP="00214BC3">
      <w:pPr>
        <w:rPr>
          <w:sz w:val="22"/>
          <w:szCs w:val="22"/>
        </w:rPr>
        <w:sectPr w:rsidR="00BA7998" w:rsidSect="00BA7998">
          <w:type w:val="continuous"/>
          <w:pgSz w:w="11906" w:h="16838"/>
          <w:pgMar w:top="1417" w:right="1701" w:bottom="180" w:left="1701" w:header="708" w:footer="708" w:gutter="0"/>
          <w:cols w:num="2" w:space="720"/>
          <w:docGrid w:linePitch="360"/>
        </w:sectPr>
      </w:pPr>
    </w:p>
    <w:p w:rsidR="00443DB8" w:rsidRDefault="00443DB8" w:rsidP="00214BC3">
      <w:pPr>
        <w:rPr>
          <w:sz w:val="22"/>
          <w:szCs w:val="22"/>
        </w:rPr>
      </w:pPr>
    </w:p>
    <w:p w:rsidR="00443DB8" w:rsidRDefault="00443DB8" w:rsidP="00214BC3">
      <w:pPr>
        <w:rPr>
          <w:sz w:val="22"/>
          <w:szCs w:val="22"/>
        </w:rPr>
        <w:sectPr w:rsidR="00443DB8" w:rsidSect="00443DB8">
          <w:type w:val="continuous"/>
          <w:pgSz w:w="11906" w:h="16838"/>
          <w:pgMar w:top="1417" w:right="1701" w:bottom="180" w:left="1701" w:header="708" w:footer="708" w:gutter="0"/>
          <w:cols w:num="2" w:space="720"/>
          <w:docGrid w:linePitch="360"/>
        </w:sectPr>
      </w:pPr>
    </w:p>
    <w:p w:rsidR="00A769FE" w:rsidRPr="00443DB8" w:rsidRDefault="00A769FE" w:rsidP="00214BC3">
      <w:pPr>
        <w:rPr>
          <w:sz w:val="22"/>
          <w:szCs w:val="22"/>
        </w:rPr>
      </w:pPr>
    </w:p>
    <w:p w:rsidR="00FF07C0" w:rsidRDefault="00FF07C0" w:rsidP="00F36DDC">
      <w:pPr>
        <w:rPr>
          <w:sz w:val="22"/>
          <w:szCs w:val="22"/>
          <w:lang w:val="es-PE"/>
        </w:rPr>
      </w:pPr>
    </w:p>
    <w:p w:rsidR="00FF07C0" w:rsidRDefault="00FF07C0" w:rsidP="00F36DDC">
      <w:pPr>
        <w:rPr>
          <w:sz w:val="22"/>
          <w:szCs w:val="22"/>
          <w:lang w:val="es-PE"/>
        </w:rPr>
        <w:sectPr w:rsidR="00FF07C0" w:rsidSect="00F36DDC">
          <w:type w:val="continuous"/>
          <w:pgSz w:w="11906" w:h="16838"/>
          <w:pgMar w:top="1417" w:right="1701" w:bottom="180" w:left="1701" w:header="708" w:footer="708" w:gutter="0"/>
          <w:cols w:num="2" w:space="720"/>
          <w:docGrid w:linePitch="360"/>
        </w:sectPr>
      </w:pPr>
    </w:p>
    <w:p w:rsidR="00483779" w:rsidRDefault="00E625C1" w:rsidP="00E625C1">
      <w:pPr>
        <w:jc w:val="center"/>
        <w:rPr>
          <w:sz w:val="22"/>
          <w:szCs w:val="22"/>
          <w:lang w:val="es-PE"/>
        </w:rPr>
      </w:pPr>
      <w:r w:rsidRPr="00267811">
        <w:rPr>
          <w:sz w:val="22"/>
          <w:szCs w:val="22"/>
          <w:lang w:val="es-PE"/>
        </w:rPr>
        <w:object w:dxaOrig="8783" w:dyaOrig="5419">
          <v:shape id="_x0000_i1034" type="#_x0000_t75" style="width:439.5pt;height:240pt" o:ole="">
            <v:imagedata r:id="rId62" o:title=""/>
          </v:shape>
          <o:OLEObject Type="Embed" ProgID="Excel.Sheet.12" ShapeID="_x0000_i1034" DrawAspect="Content" ObjectID="_1399363690" r:id="rId63"/>
        </w:object>
      </w:r>
    </w:p>
    <w:p w:rsidR="00BA7998" w:rsidRDefault="00BA7998" w:rsidP="00E625C1">
      <w:pPr>
        <w:rPr>
          <w:sz w:val="22"/>
          <w:szCs w:val="22"/>
          <w:lang w:val="es-PE"/>
        </w:rPr>
      </w:pPr>
    </w:p>
    <w:p w:rsidR="00D85D41" w:rsidRDefault="00D85D41" w:rsidP="00E625C1">
      <w:pPr>
        <w:rPr>
          <w:sz w:val="22"/>
          <w:szCs w:val="22"/>
          <w:lang w:val="es-PE"/>
        </w:rPr>
        <w:sectPr w:rsidR="00D85D41" w:rsidSect="00483779">
          <w:type w:val="continuous"/>
          <w:pgSz w:w="11906" w:h="16838"/>
          <w:pgMar w:top="1417" w:right="1701" w:bottom="180" w:left="1701" w:header="708" w:footer="708" w:gutter="0"/>
          <w:cols w:space="720"/>
          <w:docGrid w:linePitch="360"/>
        </w:sectPr>
      </w:pPr>
    </w:p>
    <w:p w:rsidR="00483779" w:rsidRDefault="00482FA5" w:rsidP="00F36DDC">
      <w:pPr>
        <w:rPr>
          <w:sz w:val="22"/>
          <w:szCs w:val="22"/>
          <w:lang w:val="es-PE"/>
        </w:rPr>
      </w:pPr>
      <w:r w:rsidRPr="00482FA5">
        <w:rPr>
          <w:szCs w:val="22"/>
        </w:rPr>
        <w:lastRenderedPageBreak/>
        <w:pict>
          <v:shape id="_x0000_i1035" type="#_x0000_t75" style="width:194.25pt;height:145.5pt">
            <v:imagedata r:id="rId64" o:title=""/>
          </v:shape>
        </w:pict>
      </w:r>
    </w:p>
    <w:p w:rsidR="00B603DD" w:rsidRDefault="00856D52" w:rsidP="00F36DDC">
      <w:pPr>
        <w:rPr>
          <w:sz w:val="22"/>
          <w:szCs w:val="22"/>
          <w:lang w:val="es-PE"/>
        </w:rPr>
      </w:pPr>
      <w:r w:rsidRPr="00856D52">
        <w:rPr>
          <w:noProof/>
          <w:szCs w:val="22"/>
          <w:lang w:val="es-PE" w:eastAsia="es-PE"/>
        </w:rPr>
        <w:lastRenderedPageBreak/>
        <w:drawing>
          <wp:inline distT="0" distB="0" distL="0" distR="0">
            <wp:extent cx="2468778" cy="1866900"/>
            <wp:effectExtent l="19050" t="0" r="7722"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65" cstate="print"/>
                    <a:srcRect/>
                    <a:stretch>
                      <a:fillRect/>
                    </a:stretch>
                  </pic:blipFill>
                  <pic:spPr bwMode="auto">
                    <a:xfrm>
                      <a:off x="0" y="0"/>
                      <a:ext cx="2471420" cy="1868898"/>
                    </a:xfrm>
                    <a:prstGeom prst="rect">
                      <a:avLst/>
                    </a:prstGeom>
                    <a:noFill/>
                    <a:ln w="9525">
                      <a:noFill/>
                      <a:miter lim="800000"/>
                      <a:headEnd/>
                      <a:tailEnd/>
                    </a:ln>
                  </pic:spPr>
                </pic:pic>
              </a:graphicData>
            </a:graphic>
          </wp:inline>
        </w:drawing>
      </w:r>
    </w:p>
    <w:p w:rsidR="00A769FE" w:rsidRPr="00FC18C8" w:rsidRDefault="00A769FE"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AB7ED5" w:rsidRPr="008D432F" w:rsidRDefault="00C54324" w:rsidP="008D432F">
      <w:pPr>
        <w:rPr>
          <w:sz w:val="22"/>
          <w:szCs w:val="22"/>
          <w:lang w:val="es-PE"/>
        </w:rPr>
      </w:pPr>
      <w:r>
        <w:rPr>
          <w:sz w:val="22"/>
          <w:szCs w:val="22"/>
          <w:lang w:val="es-PE"/>
        </w:rPr>
        <w:lastRenderedPageBreak/>
        <w:t xml:space="preserve">      </w:t>
      </w:r>
    </w:p>
    <w:p w:rsidR="00F04DEC" w:rsidRPr="00143594" w:rsidRDefault="00F04DEC" w:rsidP="00F04DEC">
      <w:pPr>
        <w:pStyle w:val="Ttulo2"/>
        <w:ind w:left="0"/>
        <w:rPr>
          <w:rFonts w:ascii="Times New Roman" w:hAnsi="Times New Roman"/>
          <w:sz w:val="24"/>
          <w:szCs w:val="24"/>
        </w:rPr>
      </w:pPr>
      <w:r w:rsidRPr="00143594">
        <w:rPr>
          <w:rFonts w:ascii="Times New Roman" w:hAnsi="Times New Roman"/>
          <w:sz w:val="24"/>
          <w:szCs w:val="24"/>
        </w:rPr>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66"/>
          <w:footerReference w:type="default" r:id="rId67"/>
          <w:type w:val="continuous"/>
          <w:pgSz w:w="11907" w:h="16840" w:code="9"/>
          <w:pgMar w:top="1701" w:right="1418" w:bottom="1418" w:left="1701" w:header="1134" w:footer="1134" w:gutter="0"/>
          <w:paperSrc w:first="15"/>
          <w:cols w:num="2" w:space="720" w:equalWidth="0">
            <w:col w:w="4040" w:space="708"/>
            <w:col w:w="4040"/>
          </w:cols>
          <w:titlePg/>
        </w:sectPr>
      </w:pPr>
    </w:p>
    <w:p w:rsidR="00596288" w:rsidRDefault="00596288" w:rsidP="00596288">
      <w:pPr>
        <w:rPr>
          <w:sz w:val="22"/>
          <w:szCs w:val="22"/>
        </w:rPr>
      </w:pPr>
      <w:r>
        <w:rPr>
          <w:sz w:val="22"/>
        </w:rPr>
        <w:lastRenderedPageBreak/>
        <w:t>En marzo,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26,8 </w:t>
      </w:r>
      <w:r w:rsidRPr="00EA2ACB">
        <w:rPr>
          <w:sz w:val="22"/>
        </w:rPr>
        <w:t>por ciento</w:t>
      </w:r>
      <w:r>
        <w:rPr>
          <w:sz w:val="22"/>
        </w:rPr>
        <w:t xml:space="preserve"> en relación con igual mes del año anterior. </w:t>
      </w:r>
      <w:r>
        <w:rPr>
          <w:sz w:val="22"/>
          <w:szCs w:val="22"/>
        </w:rPr>
        <w:t xml:space="preserve">En los tres primeros </w:t>
      </w:r>
      <w:r>
        <w:rPr>
          <w:sz w:val="22"/>
          <w:szCs w:val="22"/>
        </w:rPr>
        <w:lastRenderedPageBreak/>
        <w:t>meses del año, el crecimiento sectorial fue de 26,3 por ciento respecto de igual período del año pasado.</w:t>
      </w:r>
    </w:p>
    <w:p w:rsidR="00C87A65" w:rsidRDefault="00C87A65" w:rsidP="001C335B">
      <w:pPr>
        <w:rPr>
          <w:sz w:val="22"/>
        </w:rPr>
      </w:pPr>
    </w:p>
    <w:p w:rsidR="00596288" w:rsidRPr="00C87A65" w:rsidRDefault="00596288" w:rsidP="001C335B">
      <w:pPr>
        <w:rPr>
          <w:sz w:val="22"/>
        </w:rPr>
        <w:sectPr w:rsidR="00596288"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596288" w:rsidP="005E7AE7">
      <w:pPr>
        <w:ind w:left="-397" w:firstLine="567"/>
        <w:jc w:val="center"/>
        <w:rPr>
          <w:sz w:val="22"/>
        </w:rPr>
      </w:pPr>
      <w:r w:rsidRPr="00FC6A3F">
        <w:rPr>
          <w:sz w:val="22"/>
        </w:rPr>
        <w:object w:dxaOrig="7438" w:dyaOrig="1993">
          <v:shape id="_x0000_i1036" type="#_x0000_t75" style="width:372pt;height:99.75pt" o:ole="">
            <v:imagedata r:id="rId68" o:title=""/>
          </v:shape>
          <o:OLEObject Type="Embed" ProgID="Excel.Sheet.12" ShapeID="_x0000_i1036" DrawAspect="Content" ObjectID="_1399363691" r:id="rId69"/>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711138">
        <w:rPr>
          <w:rFonts w:ascii="Times New Roman" w:hAnsi="Times New Roman"/>
          <w:sz w:val="24"/>
          <w:szCs w:val="24"/>
        </w:rPr>
        <w:t>1.1.6.</w:t>
      </w:r>
      <w:r w:rsidRPr="00711138">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596288" w:rsidRDefault="00596288" w:rsidP="00596288">
      <w:r>
        <w:rPr>
          <w:sz w:val="22"/>
        </w:rPr>
        <w:lastRenderedPageBreak/>
        <w:t xml:space="preserve">En marzo, la </w:t>
      </w:r>
      <w:r>
        <w:rPr>
          <w:b/>
          <w:bCs/>
          <w:sz w:val="22"/>
        </w:rPr>
        <w:t xml:space="preserve">producción de electricidad y agua </w:t>
      </w:r>
      <w:r>
        <w:rPr>
          <w:sz w:val="22"/>
        </w:rPr>
        <w:t xml:space="preserve">decreció 13,7 por ciento en relación con igual mes del año anterior, por la menor generación de energía eléctrica (-18,7 por </w:t>
      </w:r>
      <w:r>
        <w:rPr>
          <w:sz w:val="22"/>
        </w:rPr>
        <w:lastRenderedPageBreak/>
        <w:t xml:space="preserve">ciento) que contrarrestó el aumento en agua (5,9 por ciento). </w:t>
      </w:r>
      <w:r>
        <w:rPr>
          <w:sz w:val="22"/>
          <w:szCs w:val="22"/>
        </w:rPr>
        <w:t>En el primer trimestre, el sector decreció en 2,8 por ciento.</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7D136B" w:rsidRDefault="007D136B" w:rsidP="007D136B">
      <w:pPr>
        <w:ind w:firstLine="705"/>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pStyle w:val="Ttulo1"/>
        <w:jc w:val="center"/>
        <w:rPr>
          <w:sz w:val="22"/>
        </w:rPr>
      </w:pPr>
    </w:p>
    <w:p w:rsidR="00F04DEC" w:rsidRDefault="009539B9" w:rsidP="007D136B">
      <w:pPr>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596288" w:rsidRPr="00FC6A3F">
        <w:rPr>
          <w:sz w:val="22"/>
        </w:rPr>
        <w:object w:dxaOrig="7147" w:dyaOrig="2425">
          <v:shape id="_x0000_i1037" type="#_x0000_t75" style="width:357pt;height:121.5pt" o:ole="">
            <v:imagedata r:id="rId70" o:title=""/>
          </v:shape>
          <o:OLEObject Type="Embed" ProgID="Excel.Sheet.12" ShapeID="_x0000_i1037" DrawAspect="Content" ObjectID="_1399363692" r:id="rId71"/>
        </w:object>
      </w:r>
    </w:p>
    <w:p w:rsidR="00F04DEC" w:rsidRDefault="00F04DEC">
      <w:pPr>
        <w:rPr>
          <w:b/>
          <w:sz w:val="22"/>
          <w:lang w:val="es-ES_tradnl"/>
        </w:rPr>
      </w:pPr>
    </w:p>
    <w:p w:rsidR="00852557" w:rsidRPr="0052052B" w:rsidRDefault="00852557">
      <w:pPr>
        <w:rPr>
          <w:b/>
          <w:lang w:val="es-ES_tradnl"/>
        </w:rPr>
      </w:pPr>
      <w:r w:rsidRPr="003D6631">
        <w:rPr>
          <w:b/>
          <w:lang w:val="es-ES_tradnl"/>
        </w:rPr>
        <w:t>1.1.7.</w:t>
      </w:r>
      <w:r w:rsidRPr="003D6631">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2"/>
          <w:footerReference w:type="default" r:id="rId73"/>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3D6631">
        <w:rPr>
          <w:bCs/>
          <w:sz w:val="22"/>
          <w:szCs w:val="22"/>
        </w:rPr>
        <w:t>46</w:t>
      </w:r>
      <w:r>
        <w:rPr>
          <w:bCs/>
          <w:sz w:val="22"/>
          <w:szCs w:val="22"/>
        </w:rPr>
        <w:t>,0 por ciento i</w:t>
      </w:r>
      <w:r w:rsidR="00735C2D">
        <w:rPr>
          <w:bCs/>
          <w:sz w:val="22"/>
          <w:szCs w:val="22"/>
        </w:rPr>
        <w:t xml:space="preserve">ncrementó sus ventas respecto a </w:t>
      </w:r>
      <w:r w:rsidR="003D6631">
        <w:rPr>
          <w:bCs/>
          <w:sz w:val="22"/>
          <w:szCs w:val="22"/>
        </w:rPr>
        <w:t>marzo</w:t>
      </w:r>
      <w:r>
        <w:rPr>
          <w:bCs/>
          <w:sz w:val="22"/>
          <w:szCs w:val="22"/>
        </w:rPr>
        <w:t xml:space="preserve"> del año pasado, mientras que un </w:t>
      </w:r>
      <w:r w:rsidR="0052052B">
        <w:rPr>
          <w:bCs/>
          <w:sz w:val="22"/>
          <w:szCs w:val="22"/>
        </w:rPr>
        <w:t>2</w:t>
      </w:r>
      <w:r w:rsidR="003D6631">
        <w:rPr>
          <w:bCs/>
          <w:sz w:val="22"/>
          <w:szCs w:val="22"/>
        </w:rPr>
        <w:t>9</w:t>
      </w:r>
      <w:r>
        <w:rPr>
          <w:bCs/>
          <w:sz w:val="22"/>
          <w:szCs w:val="22"/>
        </w:rPr>
        <w:t xml:space="preserve">,0 por ciento  experimentó una disminución  y </w:t>
      </w:r>
      <w:r w:rsidR="003D6631">
        <w:rPr>
          <w:bCs/>
          <w:sz w:val="22"/>
          <w:szCs w:val="22"/>
        </w:rPr>
        <w:t>un</w:t>
      </w:r>
      <w:r>
        <w:rPr>
          <w:bCs/>
          <w:sz w:val="22"/>
          <w:szCs w:val="22"/>
        </w:rPr>
        <w:t xml:space="preserve"> </w:t>
      </w:r>
      <w:r w:rsidR="00927C2D">
        <w:rPr>
          <w:bCs/>
          <w:sz w:val="22"/>
          <w:szCs w:val="22"/>
        </w:rPr>
        <w:t>21</w:t>
      </w:r>
      <w:r>
        <w:rPr>
          <w:bCs/>
          <w:sz w:val="22"/>
          <w:szCs w:val="22"/>
        </w:rPr>
        <w:t xml:space="preserve">,0 por ciento no mostró variación alguna. Con relación al mes precedente, el </w:t>
      </w:r>
      <w:r w:rsidR="003D6631">
        <w:rPr>
          <w:bCs/>
          <w:sz w:val="22"/>
          <w:szCs w:val="22"/>
        </w:rPr>
        <w:t>5</w:t>
      </w:r>
      <w:r w:rsidR="00927C2D">
        <w:rPr>
          <w:bCs/>
          <w:sz w:val="22"/>
          <w:szCs w:val="22"/>
        </w:rPr>
        <w:t>2</w:t>
      </w:r>
      <w:r>
        <w:rPr>
          <w:bCs/>
          <w:sz w:val="22"/>
          <w:szCs w:val="22"/>
        </w:rPr>
        <w:t xml:space="preserve">,0 por ciento de las  empresas  declarantes  mostró un crecimiento en sus ventas, el </w:t>
      </w:r>
      <w:r w:rsidR="003D6631">
        <w:rPr>
          <w:bCs/>
          <w:sz w:val="22"/>
          <w:szCs w:val="22"/>
        </w:rPr>
        <w:t>21</w:t>
      </w:r>
      <w:r>
        <w:rPr>
          <w:bCs/>
          <w:sz w:val="22"/>
          <w:szCs w:val="22"/>
        </w:rPr>
        <w:t xml:space="preserve">,0 por </w:t>
      </w:r>
      <w:r w:rsidR="00D8354C">
        <w:rPr>
          <w:bCs/>
          <w:sz w:val="22"/>
          <w:szCs w:val="22"/>
        </w:rPr>
        <w:lastRenderedPageBreak/>
        <w:t>c</w:t>
      </w:r>
      <w:r>
        <w:rPr>
          <w:bCs/>
          <w:sz w:val="22"/>
          <w:szCs w:val="22"/>
        </w:rPr>
        <w:t xml:space="preserve">iento registró una caída y el </w:t>
      </w:r>
      <w:r w:rsidR="003D6631">
        <w:rPr>
          <w:bCs/>
          <w:sz w:val="22"/>
          <w:szCs w:val="22"/>
        </w:rPr>
        <w:t>28</w:t>
      </w:r>
      <w:r w:rsidR="003D4908">
        <w:rPr>
          <w:bCs/>
          <w:sz w:val="22"/>
          <w:szCs w:val="22"/>
        </w:rPr>
        <w:t>,0</w:t>
      </w:r>
      <w:r>
        <w:rPr>
          <w:bCs/>
          <w:sz w:val="22"/>
          <w:szCs w:val="22"/>
        </w:rPr>
        <w:t xml:space="preserve"> por ciento restante no exhibió cambios.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3D6631">
        <w:rPr>
          <w:bCs/>
          <w:sz w:val="22"/>
          <w:szCs w:val="22"/>
        </w:rPr>
        <w:t>abril</w:t>
      </w:r>
      <w:r w:rsidR="00680C58">
        <w:rPr>
          <w:bCs/>
          <w:sz w:val="22"/>
          <w:szCs w:val="22"/>
        </w:rPr>
        <w:t xml:space="preserve"> próximo,</w:t>
      </w:r>
      <w:r w:rsidRPr="003D4908">
        <w:rPr>
          <w:bCs/>
          <w:sz w:val="22"/>
          <w:szCs w:val="22"/>
        </w:rPr>
        <w:t xml:space="preserve"> las perspectivas de ventas son optimistas en el </w:t>
      </w:r>
      <w:r w:rsidR="003D6631">
        <w:rPr>
          <w:bCs/>
          <w:sz w:val="22"/>
          <w:szCs w:val="22"/>
        </w:rPr>
        <w:t>55</w:t>
      </w:r>
      <w:r w:rsidR="00810FBA">
        <w:rPr>
          <w:bCs/>
          <w:sz w:val="22"/>
          <w:szCs w:val="22"/>
        </w:rPr>
        <w:t>,</w:t>
      </w:r>
      <w:r w:rsidRPr="003D4908">
        <w:rPr>
          <w:bCs/>
          <w:sz w:val="22"/>
          <w:szCs w:val="22"/>
        </w:rPr>
        <w:t xml:space="preserve">0 por ciento de los casos, pesimistas en el </w:t>
      </w:r>
      <w:r w:rsidR="003D6631">
        <w:rPr>
          <w:bCs/>
          <w:sz w:val="22"/>
          <w:szCs w:val="22"/>
        </w:rPr>
        <w:t>1</w:t>
      </w:r>
      <w:r w:rsidR="00927C2D">
        <w:rPr>
          <w:bCs/>
          <w:sz w:val="22"/>
          <w:szCs w:val="22"/>
        </w:rPr>
        <w:t>7</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680C58">
        <w:rPr>
          <w:bCs/>
          <w:sz w:val="22"/>
          <w:szCs w:val="22"/>
        </w:rPr>
        <w:t>2</w:t>
      </w:r>
      <w:r w:rsidR="003D6631">
        <w:rPr>
          <w:bCs/>
          <w:sz w:val="22"/>
          <w:szCs w:val="22"/>
        </w:rPr>
        <w:t>8</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74"/>
          <w:footerReference w:type="even" r:id="rId75"/>
          <w:footerReference w:type="default" r:id="rId76"/>
          <w:headerReference w:type="first" r:id="rId77"/>
          <w:footerReference w:type="first" r:id="rId78"/>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7E54D7">
      <w:pPr>
        <w:rPr>
          <w:bCs/>
          <w:sz w:val="22"/>
          <w:szCs w:val="22"/>
        </w:rPr>
      </w:pPr>
    </w:p>
    <w:p w:rsidR="003D4908" w:rsidRDefault="003D4908" w:rsidP="007E54D7">
      <w:pPr>
        <w:rPr>
          <w:bCs/>
          <w:sz w:val="22"/>
          <w:szCs w:val="22"/>
        </w:r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EC3F50" w:rsidP="00E625C1">
      <w:pPr>
        <w:jc w:val="center"/>
        <w:rPr>
          <w:bCs/>
          <w:sz w:val="22"/>
          <w:szCs w:val="22"/>
        </w:rPr>
        <w:sectPr w:rsidR="0052052B" w:rsidSect="0052052B">
          <w:type w:val="continuous"/>
          <w:pgSz w:w="11906" w:h="16838"/>
          <w:pgMar w:top="1417" w:right="1701" w:bottom="1417" w:left="1701" w:header="720" w:footer="720" w:gutter="0"/>
          <w:cols w:space="720"/>
        </w:sectPr>
      </w:pPr>
      <w:r w:rsidRPr="00267811">
        <w:rPr>
          <w:bCs/>
          <w:sz w:val="22"/>
          <w:szCs w:val="22"/>
        </w:rPr>
        <w:object w:dxaOrig="9671" w:dyaOrig="7368">
          <v:shape id="_x0000_i1038" type="#_x0000_t75" style="width:447pt;height:378pt" o:ole="">
            <v:imagedata r:id="rId79" o:title=""/>
          </v:shape>
          <o:OLEObject Type="Embed" ProgID="Excel.Sheet.8" ShapeID="_x0000_i1038" DrawAspect="Content" ObjectID="_1399363693" r:id="rId80"/>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A80336" w:rsidRDefault="00782704" w:rsidP="00782704">
      <w:pPr>
        <w:pStyle w:val="Ttulo4"/>
        <w:keepNext w:val="0"/>
        <w:numPr>
          <w:ilvl w:val="0"/>
          <w:numId w:val="1"/>
        </w:numPr>
        <w:tabs>
          <w:tab w:val="clear" w:pos="-1099"/>
        </w:tabs>
        <w:rPr>
          <w:sz w:val="26"/>
        </w:rPr>
      </w:pPr>
      <w:r w:rsidRPr="00A80336">
        <w:rPr>
          <w:sz w:val="26"/>
        </w:rPr>
        <w:t>TIPO DE CAMBIO</w:t>
      </w:r>
    </w:p>
    <w:p w:rsidR="00782704" w:rsidRPr="00483779" w:rsidRDefault="00782704" w:rsidP="00782704">
      <w:pPr>
        <w:rPr>
          <w:b/>
        </w:rPr>
      </w:pPr>
    </w:p>
    <w:p w:rsidR="00782704" w:rsidRDefault="00782704" w:rsidP="00782704">
      <w:pPr>
        <w:rPr>
          <w:b/>
        </w:rPr>
      </w:pPr>
      <w:r w:rsidRPr="003D6C32">
        <w:rPr>
          <w:b/>
        </w:rPr>
        <w:t xml:space="preserve">2.1. </w:t>
      </w:r>
      <w:r w:rsidRPr="003D6C32">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A80336">
        <w:rPr>
          <w:rFonts w:ascii="Times New Roman" w:hAnsi="Times New Roman"/>
          <w:color w:val="000000"/>
          <w:szCs w:val="20"/>
          <w:lang w:val="es-ES"/>
        </w:rPr>
        <w:t>marzo</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A80336">
        <w:rPr>
          <w:rFonts w:ascii="Times New Roman" w:hAnsi="Times New Roman"/>
          <w:color w:val="000000"/>
          <w:szCs w:val="20"/>
          <w:lang w:val="es-ES"/>
        </w:rPr>
        <w:t>3</w:t>
      </w:r>
      <w:r w:rsidR="00983EDA">
        <w:rPr>
          <w:rFonts w:ascii="Times New Roman" w:hAnsi="Times New Roman"/>
          <w:color w:val="000000"/>
          <w:szCs w:val="20"/>
          <w:lang w:val="es-ES"/>
        </w:rPr>
        <w:t>,</w:t>
      </w:r>
      <w:r w:rsidR="00A80336">
        <w:rPr>
          <w:rFonts w:ascii="Times New Roman" w:hAnsi="Times New Roman"/>
          <w:color w:val="000000"/>
          <w:szCs w:val="20"/>
          <w:lang w:val="es-ES"/>
        </w:rPr>
        <w:t>6</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sidR="00A80336">
        <w:rPr>
          <w:rFonts w:ascii="Times New Roman" w:hAnsi="Times New Roman"/>
          <w:color w:val="000000"/>
          <w:szCs w:val="20"/>
          <w:lang w:val="es-ES"/>
        </w:rPr>
        <w:t>6</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w:t>
      </w:r>
      <w:r w:rsidR="00A80336">
        <w:rPr>
          <w:rFonts w:ascii="Times New Roman" w:hAnsi="Times New Roman"/>
          <w:color w:val="000000"/>
          <w:szCs w:val="20"/>
          <w:lang w:val="es-ES"/>
        </w:rPr>
        <w:t>8</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680C58">
        <w:rPr>
          <w:rFonts w:ascii="Times New Roman" w:hAnsi="Times New Roman"/>
          <w:color w:val="000000"/>
          <w:szCs w:val="20"/>
          <w:lang w:val="es-ES"/>
        </w:rPr>
        <w:t>6</w:t>
      </w:r>
      <w:r w:rsidR="00A80336">
        <w:rPr>
          <w:rFonts w:ascii="Times New Roman" w:hAnsi="Times New Roman"/>
          <w:color w:val="000000"/>
          <w:szCs w:val="20"/>
          <w:lang w:val="es-ES"/>
        </w:rPr>
        <w:t>7</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482FA5"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482FA5">
        <w:rPr>
          <w:szCs w:val="20"/>
        </w:rPr>
        <w:pict>
          <v:shape id="_x0000_i1039" type="#_x0000_t75" style="width:425.25pt;height:221.25pt">
            <v:imagedata r:id="rId81" o:title=""/>
          </v:shape>
        </w:pict>
      </w:r>
    </w:p>
    <w:p w:rsidR="00852557" w:rsidRPr="00596288" w:rsidRDefault="00852557">
      <w:pPr>
        <w:pStyle w:val="Ttulo1"/>
        <w:numPr>
          <w:ilvl w:val="0"/>
          <w:numId w:val="1"/>
        </w:numPr>
        <w:rPr>
          <w:sz w:val="26"/>
        </w:rPr>
      </w:pPr>
      <w:bookmarkStart w:id="9" w:name="_Hlt80439059"/>
      <w:bookmarkStart w:id="10" w:name="_Toc106181550"/>
      <w:r w:rsidRPr="00596288">
        <w:rPr>
          <w:sz w:val="26"/>
        </w:rPr>
        <w:lastRenderedPageBreak/>
        <w:t>SECTOR  EXTERNO</w:t>
      </w:r>
    </w:p>
    <w:p w:rsidR="00852557" w:rsidRPr="00483779" w:rsidRDefault="00852557">
      <w:pPr>
        <w:pStyle w:val="times"/>
        <w:spacing w:before="0" w:beforeAutospacing="0" w:after="0" w:afterAutospacing="0"/>
        <w:rPr>
          <w:rFonts w:eastAsia="Times New Roman"/>
        </w:rPr>
        <w:sectPr w:rsidR="00852557" w:rsidRPr="00483779">
          <w:headerReference w:type="default" r:id="rId82"/>
          <w:footerReference w:type="default" r:id="rId83"/>
          <w:footerReference w:type="first" r:id="rId84"/>
          <w:type w:val="continuous"/>
          <w:pgSz w:w="11907" w:h="16840" w:code="9"/>
          <w:pgMar w:top="1701" w:right="1418" w:bottom="1418" w:left="1701" w:header="1134" w:footer="1134" w:gutter="0"/>
          <w:paperSrc w:first="15"/>
          <w:cols w:space="720"/>
          <w:titlePg/>
        </w:sectPr>
      </w:pPr>
    </w:p>
    <w:p w:rsidR="00852557" w:rsidRPr="00483779" w:rsidRDefault="00852557"/>
    <w:p w:rsidR="00852557" w:rsidRPr="00483779" w:rsidRDefault="00852557">
      <w:pPr>
        <w:pStyle w:val="Ttulo2"/>
        <w:numPr>
          <w:ilvl w:val="1"/>
          <w:numId w:val="1"/>
        </w:numPr>
        <w:rPr>
          <w:rFonts w:ascii="Times New Roman" w:hAnsi="Times New Roman"/>
          <w:sz w:val="22"/>
        </w:rPr>
      </w:pPr>
      <w:bookmarkStart w:id="11" w:name="_Hlt70502150"/>
      <w:bookmarkEnd w:id="11"/>
      <w:r w:rsidRPr="00483779">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596288" w:rsidRDefault="00596288" w:rsidP="00596288">
      <w:pPr>
        <w:pStyle w:val="Sangradetextonormal"/>
        <w:ind w:firstLine="0"/>
        <w:rPr>
          <w:sz w:val="22"/>
        </w:rPr>
      </w:pPr>
      <w:r>
        <w:rPr>
          <w:sz w:val="22"/>
        </w:rPr>
        <w:lastRenderedPageBreak/>
        <w:t xml:space="preserve">En marzo, las </w:t>
      </w:r>
      <w:r>
        <w:rPr>
          <w:b/>
          <w:sz w:val="22"/>
        </w:rPr>
        <w:t>exportaciones</w:t>
      </w:r>
      <w:r>
        <w:rPr>
          <w:sz w:val="22"/>
        </w:rPr>
        <w:t xml:space="preserve"> del departamento de Piura fueron de US$268,8 millones, superando en 8,5 por ciento a las de igual mes del año pasado, por la mayor oferta de productos tradicionales (1,3 por ciento) y no tradicionales (18,2 por ciento).</w:t>
      </w:r>
    </w:p>
    <w:p w:rsidR="00596288" w:rsidRDefault="00596288" w:rsidP="00596288">
      <w:pPr>
        <w:pStyle w:val="Sangradetextonormal"/>
        <w:ind w:firstLine="0"/>
        <w:rPr>
          <w:sz w:val="22"/>
        </w:rPr>
      </w:pPr>
      <w:r w:rsidRPr="0067535C">
        <w:rPr>
          <w:sz w:val="22"/>
        </w:rPr>
        <w:t xml:space="preserve">En </w:t>
      </w:r>
      <w:r w:rsidRPr="00922A70">
        <w:rPr>
          <w:sz w:val="22"/>
        </w:rPr>
        <w:t xml:space="preserve">el primer grupo, </w:t>
      </w:r>
      <w:r>
        <w:rPr>
          <w:sz w:val="22"/>
        </w:rPr>
        <w:t>cayero</w:t>
      </w:r>
      <w:r w:rsidRPr="00922A70">
        <w:rPr>
          <w:sz w:val="22"/>
        </w:rPr>
        <w:t>n las ventas de petróleo y derivados (</w:t>
      </w:r>
      <w:r>
        <w:rPr>
          <w:sz w:val="22"/>
        </w:rPr>
        <w:t xml:space="preserve">-5,7 </w:t>
      </w:r>
      <w:r w:rsidRPr="00922A70">
        <w:rPr>
          <w:sz w:val="22"/>
        </w:rPr>
        <w:t xml:space="preserve">por ciento) </w:t>
      </w:r>
      <w:r w:rsidRPr="007A2C26">
        <w:rPr>
          <w:sz w:val="22"/>
        </w:rPr>
        <w:t>y azúcar (-95,2 por ciento), pero aumentaron las de harina de pescado (</w:t>
      </w:r>
      <w:r>
        <w:rPr>
          <w:sz w:val="22"/>
        </w:rPr>
        <w:t>88</w:t>
      </w:r>
      <w:r w:rsidRPr="007A2C26">
        <w:rPr>
          <w:sz w:val="22"/>
        </w:rPr>
        <w:t>,</w:t>
      </w:r>
      <w:r>
        <w:rPr>
          <w:sz w:val="22"/>
        </w:rPr>
        <w:t>1</w:t>
      </w:r>
      <w:r w:rsidRPr="007A2C26">
        <w:rPr>
          <w:sz w:val="22"/>
        </w:rPr>
        <w:t xml:space="preserve"> por ciento)</w:t>
      </w:r>
      <w:r>
        <w:rPr>
          <w:sz w:val="22"/>
        </w:rPr>
        <w:t xml:space="preserve"> y</w:t>
      </w:r>
      <w:r w:rsidRPr="007A2C26">
        <w:rPr>
          <w:sz w:val="22"/>
        </w:rPr>
        <w:t xml:space="preserve"> café (</w:t>
      </w:r>
      <w:r>
        <w:rPr>
          <w:sz w:val="22"/>
        </w:rPr>
        <w:t>219</w:t>
      </w:r>
      <w:r w:rsidRPr="007A2C26">
        <w:rPr>
          <w:sz w:val="22"/>
        </w:rPr>
        <w:t xml:space="preserve"> por ciento). </w:t>
      </w:r>
    </w:p>
    <w:p w:rsidR="00596288" w:rsidRDefault="00596288" w:rsidP="00596288">
      <w:pPr>
        <w:pStyle w:val="Sangradetextonormal"/>
        <w:ind w:firstLine="0"/>
        <w:rPr>
          <w:sz w:val="22"/>
        </w:rPr>
      </w:pPr>
      <w:r w:rsidRPr="007A2C26">
        <w:rPr>
          <w:sz w:val="22"/>
        </w:rPr>
        <w:lastRenderedPageBreak/>
        <w:t xml:space="preserve">En </w:t>
      </w:r>
      <w:r>
        <w:rPr>
          <w:sz w:val="22"/>
        </w:rPr>
        <w:t xml:space="preserve">el caso de </w:t>
      </w:r>
      <w:r w:rsidRPr="007A2C26">
        <w:rPr>
          <w:sz w:val="22"/>
        </w:rPr>
        <w:t>los productos</w:t>
      </w:r>
      <w:r w:rsidRPr="006C2581">
        <w:rPr>
          <w:sz w:val="22"/>
        </w:rPr>
        <w:t xml:space="preserve"> no</w:t>
      </w:r>
      <w:r w:rsidRPr="002062D7">
        <w:rPr>
          <w:color w:val="FF0000"/>
          <w:sz w:val="22"/>
        </w:rPr>
        <w:t xml:space="preserve"> </w:t>
      </w:r>
      <w:r w:rsidRPr="005221BB">
        <w:rPr>
          <w:sz w:val="22"/>
        </w:rPr>
        <w:t>tradicionales</w:t>
      </w:r>
      <w:r>
        <w:rPr>
          <w:sz w:val="22"/>
        </w:rPr>
        <w:t xml:space="preserve"> aumentaron los envíos de </w:t>
      </w:r>
      <w:r w:rsidRPr="005221BB">
        <w:rPr>
          <w:sz w:val="22"/>
        </w:rPr>
        <w:t>fosfatos naturales (</w:t>
      </w:r>
      <w:r>
        <w:rPr>
          <w:sz w:val="22"/>
        </w:rPr>
        <w:t>117,2</w:t>
      </w:r>
      <w:r w:rsidRPr="005221BB">
        <w:rPr>
          <w:sz w:val="22"/>
        </w:rPr>
        <w:t xml:space="preserve"> por ciento)</w:t>
      </w:r>
      <w:r>
        <w:rPr>
          <w:sz w:val="22"/>
        </w:rPr>
        <w:t>,</w:t>
      </w:r>
      <w:r w:rsidRPr="005221BB">
        <w:rPr>
          <w:sz w:val="22"/>
        </w:rPr>
        <w:t xml:space="preserve"> </w:t>
      </w:r>
      <w:r>
        <w:rPr>
          <w:sz w:val="22"/>
        </w:rPr>
        <w:t xml:space="preserve"> pota congelada (34,9 por ciento), pescado congelado (22,3 por ciento), bananas (13,6 por ciento), frijoles y otras legumbres </w:t>
      </w:r>
      <w:r w:rsidRPr="005221BB">
        <w:rPr>
          <w:sz w:val="22"/>
        </w:rPr>
        <w:t>(</w:t>
      </w:r>
      <w:r>
        <w:rPr>
          <w:sz w:val="22"/>
        </w:rPr>
        <w:t>51,6</w:t>
      </w:r>
      <w:r w:rsidRPr="005221BB">
        <w:rPr>
          <w:sz w:val="22"/>
        </w:rPr>
        <w:t xml:space="preserve"> por ciento)</w:t>
      </w:r>
      <w:r>
        <w:rPr>
          <w:sz w:val="22"/>
        </w:rPr>
        <w:t>, pimientos preparados (86,2 por ciento) y oleína (28,1 por ciento).</w:t>
      </w:r>
      <w:r w:rsidRPr="005221BB">
        <w:rPr>
          <w:sz w:val="22"/>
        </w:rPr>
        <w:t xml:space="preserve"> En contraste, </w:t>
      </w:r>
      <w:r>
        <w:rPr>
          <w:sz w:val="22"/>
        </w:rPr>
        <w:t xml:space="preserve">disminuyeron las ventas de mangos (-2,6 por ciento), preparaciones y </w:t>
      </w:r>
      <w:r w:rsidRPr="005221BB">
        <w:rPr>
          <w:sz w:val="22"/>
        </w:rPr>
        <w:t>conservas de pescado (</w:t>
      </w:r>
      <w:r>
        <w:rPr>
          <w:sz w:val="22"/>
        </w:rPr>
        <w:t xml:space="preserve">-30,1 </w:t>
      </w:r>
      <w:r w:rsidRPr="005221BB">
        <w:rPr>
          <w:sz w:val="22"/>
        </w:rPr>
        <w:t>por ciento)</w:t>
      </w:r>
      <w:r>
        <w:rPr>
          <w:sz w:val="22"/>
        </w:rPr>
        <w:t xml:space="preserve"> y conchas de abanico (-65,7</w:t>
      </w:r>
      <w:r w:rsidRPr="005221BB">
        <w:rPr>
          <w:sz w:val="22"/>
        </w:rPr>
        <w:t xml:space="preserve"> por ciento)</w:t>
      </w:r>
      <w:r>
        <w:rPr>
          <w:sz w:val="22"/>
        </w:rPr>
        <w:t>.</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rsidP="00596288">
      <w:pP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596288">
      <w:pPr>
        <w:jc w:val="center"/>
        <w:rPr>
          <w:sz w:val="22"/>
        </w:rPr>
      </w:pPr>
      <w:r w:rsidRPr="00FC6A3F">
        <w:rPr>
          <w:sz w:val="22"/>
        </w:rPr>
        <w:object w:dxaOrig="7503" w:dyaOrig="7020">
          <v:shape id="_x0000_i1040" type="#_x0000_t75" style="width:375pt;height:351pt" o:ole="">
            <v:imagedata r:id="rId85" o:title=""/>
          </v:shape>
          <o:OLEObject Type="Embed" ProgID="Excel.Sheet.12" ShapeID="_x0000_i1040" DrawAspect="Content" ObjectID="_1399363694" r:id="rId86"/>
        </w:object>
      </w:r>
    </w:p>
    <w:p w:rsidR="00596288" w:rsidRDefault="00596288" w:rsidP="00596288">
      <w:pPr>
        <w:rPr>
          <w:sz w:val="22"/>
        </w:rPr>
      </w:pPr>
    </w:p>
    <w:p w:rsidR="00596288" w:rsidRDefault="00596288" w:rsidP="000865D1">
      <w:pPr>
        <w:rPr>
          <w:sz w:val="22"/>
        </w:rPr>
        <w:sectPr w:rsidR="00596288">
          <w:type w:val="continuous"/>
          <w:pgSz w:w="11907" w:h="16840" w:code="9"/>
          <w:pgMar w:top="1701" w:right="1418" w:bottom="1418" w:left="1701" w:header="1134" w:footer="1134" w:gutter="0"/>
          <w:paperSrc w:first="15"/>
          <w:cols w:space="708"/>
          <w:titlePg/>
        </w:sectPr>
      </w:pPr>
    </w:p>
    <w:p w:rsidR="0038368B" w:rsidRDefault="00596288" w:rsidP="0038368B">
      <w:pPr>
        <w:rPr>
          <w:sz w:val="22"/>
        </w:rPr>
      </w:pPr>
      <w:r>
        <w:rPr>
          <w:sz w:val="22"/>
        </w:rPr>
        <w:lastRenderedPageBreak/>
        <w:t>En el primer trimestre, el crecimiento relativo de las exportaciones fue de 12,0 por ciento en relación con igual período del año anterior.</w:t>
      </w:r>
    </w:p>
    <w:p w:rsidR="00596288" w:rsidRDefault="00596288" w:rsidP="0038368B">
      <w:pPr>
        <w:rPr>
          <w:sz w:val="22"/>
        </w:rPr>
      </w:pPr>
    </w:p>
    <w:p w:rsidR="00596288" w:rsidRDefault="00596288" w:rsidP="0038368B">
      <w:pPr>
        <w:rPr>
          <w:sz w:val="22"/>
        </w:rPr>
      </w:pPr>
    </w:p>
    <w:p w:rsidR="00596288" w:rsidRDefault="0038368B" w:rsidP="00A63B51">
      <w:pPr>
        <w:rPr>
          <w:sz w:val="22"/>
        </w:rPr>
      </w:pPr>
      <w:r>
        <w:rPr>
          <w:sz w:val="22"/>
        </w:rPr>
        <w:lastRenderedPageBreak/>
        <w:t>La participaci</w:t>
      </w:r>
      <w:r w:rsidR="00596288">
        <w:rPr>
          <w:sz w:val="22"/>
        </w:rPr>
        <w:t>ón relativa de las exportaciones</w:t>
      </w:r>
      <w:r>
        <w:rPr>
          <w:sz w:val="22"/>
        </w:rPr>
        <w:t xml:space="preserve"> </w:t>
      </w:r>
    </w:p>
    <w:p w:rsidR="00596288" w:rsidRDefault="0038368B" w:rsidP="00A63B51">
      <w:pPr>
        <w:rPr>
          <w:sz w:val="22"/>
        </w:rPr>
      </w:pPr>
      <w:r>
        <w:rPr>
          <w:sz w:val="22"/>
        </w:rPr>
        <w:t>tradicionales disminuyó de</w:t>
      </w:r>
      <w:r>
        <w:rPr>
          <w:bCs/>
          <w:sz w:val="22"/>
        </w:rPr>
        <w:t xml:space="preserve"> 4</w:t>
      </w:r>
      <w:r w:rsidR="00312148">
        <w:rPr>
          <w:bCs/>
          <w:sz w:val="22"/>
        </w:rPr>
        <w:t>8</w:t>
      </w:r>
      <w:r>
        <w:rPr>
          <w:bCs/>
          <w:sz w:val="22"/>
        </w:rPr>
        <w:t>,</w:t>
      </w:r>
      <w:r w:rsidR="00312148">
        <w:rPr>
          <w:bCs/>
          <w:sz w:val="22"/>
        </w:rPr>
        <w:t>3</w:t>
      </w:r>
      <w:r>
        <w:rPr>
          <w:bCs/>
          <w:sz w:val="22"/>
        </w:rPr>
        <w:t xml:space="preserve"> por ciento a </w:t>
      </w:r>
      <w:r w:rsidR="00312148">
        <w:rPr>
          <w:bCs/>
          <w:sz w:val="22"/>
        </w:rPr>
        <w:t>44</w:t>
      </w:r>
      <w:r>
        <w:rPr>
          <w:bCs/>
          <w:sz w:val="22"/>
        </w:rPr>
        <w:t>,</w:t>
      </w:r>
      <w:r w:rsidR="00312148">
        <w:rPr>
          <w:bCs/>
          <w:sz w:val="22"/>
        </w:rPr>
        <w:t>1</w:t>
      </w:r>
      <w:r>
        <w:rPr>
          <w:bCs/>
          <w:sz w:val="22"/>
        </w:rPr>
        <w:t xml:space="preserve"> por ciento, principalmente por la caída en las ventas</w:t>
      </w:r>
      <w:r>
        <w:rPr>
          <w:sz w:val="22"/>
        </w:rPr>
        <w:t xml:space="preserve"> de petróleo y derivados (-</w:t>
      </w:r>
      <w:r w:rsidR="00312148">
        <w:rPr>
          <w:sz w:val="22"/>
        </w:rPr>
        <w:t>5</w:t>
      </w:r>
      <w:r>
        <w:rPr>
          <w:sz w:val="22"/>
        </w:rPr>
        <w:t>,</w:t>
      </w:r>
      <w:r w:rsidR="00312148">
        <w:rPr>
          <w:sz w:val="22"/>
        </w:rPr>
        <w:t>0</w:t>
      </w:r>
      <w:r>
        <w:rPr>
          <w:sz w:val="22"/>
        </w:rPr>
        <w:t xml:space="preserve"> por ciento)</w:t>
      </w:r>
      <w:r w:rsidR="00596288">
        <w:rPr>
          <w:sz w:val="22"/>
        </w:rPr>
        <w:t>.</w:t>
      </w:r>
    </w:p>
    <w:p w:rsidR="00596288" w:rsidRPr="00596288" w:rsidRDefault="00596288" w:rsidP="00A63B51">
      <w:pPr>
        <w:rPr>
          <w:sz w:val="22"/>
        </w:rPr>
        <w:sectPr w:rsidR="00596288" w:rsidRPr="00596288" w:rsidSect="00596288">
          <w:type w:val="continuous"/>
          <w:pgSz w:w="11907" w:h="16840" w:code="9"/>
          <w:pgMar w:top="1701" w:right="1418" w:bottom="1418" w:left="1701" w:header="1134" w:footer="1134" w:gutter="0"/>
          <w:paperSrc w:first="15"/>
          <w:cols w:num="2" w:space="708"/>
          <w:titlePg/>
        </w:sectPr>
      </w:pPr>
    </w:p>
    <w:p w:rsidR="00A63B51" w:rsidRDefault="00A63B51" w:rsidP="00A63B51">
      <w:pPr>
        <w:rPr>
          <w:bCs/>
          <w:sz w:val="22"/>
        </w:rPr>
        <w:sectPr w:rsidR="00A63B51">
          <w:type w:val="continuous"/>
          <w:pgSz w:w="11907" w:h="16840" w:code="9"/>
          <w:pgMar w:top="1701" w:right="1418" w:bottom="1418" w:left="1701" w:header="1134" w:footer="1134" w:gutter="0"/>
          <w:paperSrc w:first="15"/>
          <w:cols w:num="2" w:space="720" w:equalWidth="0">
            <w:col w:w="4040" w:space="708"/>
            <w:col w:w="4040"/>
          </w:cols>
          <w:titlePg/>
        </w:sectPr>
      </w:pPr>
    </w:p>
    <w:p w:rsidR="00630A29" w:rsidRDefault="00630A29" w:rsidP="0057590E">
      <w:pPr>
        <w:rPr>
          <w:sz w:val="22"/>
        </w:rPr>
        <w:sectPr w:rsidR="00630A29">
          <w:type w:val="continuous"/>
          <w:pgSz w:w="11907" w:h="16840" w:code="9"/>
          <w:pgMar w:top="1701" w:right="1418" w:bottom="1418" w:left="1701" w:header="1134" w:footer="1134" w:gutter="0"/>
          <w:paperSrc w:first="15"/>
          <w:cols w:num="2" w:space="720" w:equalWidth="0">
            <w:col w:w="4040" w:space="708"/>
            <w:col w:w="4040"/>
          </w:cols>
          <w:titlePg/>
        </w:sectPr>
      </w:pPr>
    </w:p>
    <w:p w:rsidR="00EE1ADF" w:rsidRDefault="00EE1ADF" w:rsidP="007C5414">
      <w:pPr>
        <w:rPr>
          <w:bCs/>
          <w:sz w:val="22"/>
        </w:rPr>
      </w:pPr>
    </w:p>
    <w:p w:rsidR="005B7A80" w:rsidRDefault="005B7A80" w:rsidP="007C5414">
      <w:pPr>
        <w:rPr>
          <w:bCs/>
          <w:sz w:val="22"/>
        </w:rPr>
      </w:pPr>
    </w:p>
    <w:p w:rsidR="005B7A80" w:rsidRDefault="005B7A80" w:rsidP="007C5414">
      <w:pPr>
        <w:rPr>
          <w:bCs/>
          <w:sz w:val="22"/>
        </w:rPr>
        <w:sectPr w:rsidR="005B7A80">
          <w:type w:val="continuous"/>
          <w:pgSz w:w="11907" w:h="16840" w:code="9"/>
          <w:pgMar w:top="1701" w:right="1418" w:bottom="1418" w:left="1701" w:header="1134" w:footer="1134" w:gutter="0"/>
          <w:paperSrc w:first="15"/>
          <w:cols w:num="2" w:space="720" w:equalWidth="0">
            <w:col w:w="4040" w:space="708"/>
            <w:col w:w="4040"/>
          </w:cols>
          <w:titlePg/>
        </w:sectPr>
      </w:pPr>
    </w:p>
    <w:p w:rsidR="007E0019" w:rsidRDefault="00856D52" w:rsidP="00317592">
      <w:pPr>
        <w:rPr>
          <w:bCs/>
          <w:sz w:val="22"/>
        </w:rPr>
        <w:sectPr w:rsidR="007E0019">
          <w:type w:val="continuous"/>
          <w:pgSz w:w="11907" w:h="16840" w:code="9"/>
          <w:pgMar w:top="1701" w:right="1418" w:bottom="1418" w:left="1701" w:header="1134" w:footer="1134" w:gutter="0"/>
          <w:paperSrc w:first="15"/>
          <w:cols w:space="708"/>
          <w:titlePg/>
        </w:sectPr>
      </w:pPr>
      <w:r>
        <w:object w:dxaOrig="19695" w:dyaOrig="8505">
          <v:shape id="_x0000_i1041" type="#_x0000_t75" style="width:438pt;height:178.5pt" o:ole="">
            <v:imagedata r:id="rId87" o:title=""/>
          </v:shape>
          <o:OLEObject Type="Embed" ProgID="Excel.Sheet.12" ShapeID="_x0000_i1041" DrawAspect="Content" ObjectID="_1399363695" r:id="rId88"/>
        </w:object>
      </w:r>
    </w:p>
    <w:p w:rsidR="00703496" w:rsidRDefault="00703496" w:rsidP="00904E9D">
      <w:pPr>
        <w:pStyle w:val="Sangradetextonormal"/>
        <w:ind w:firstLine="0"/>
        <w:rPr>
          <w:sz w:val="22"/>
        </w:rPr>
      </w:pPr>
    </w:p>
    <w:p w:rsidR="00703496" w:rsidRDefault="00703496" w:rsidP="001C335B">
      <w:pPr>
        <w:pStyle w:val="Sangradetextonormal"/>
        <w:ind w:firstLine="0"/>
        <w:rPr>
          <w:sz w:val="22"/>
        </w:rPr>
      </w:pPr>
    </w:p>
    <w:p w:rsidR="00703496" w:rsidRDefault="00703496" w:rsidP="001C335B">
      <w:pPr>
        <w:pStyle w:val="Sangradetextonormal"/>
        <w:ind w:firstLine="0"/>
        <w:rPr>
          <w:sz w:val="22"/>
        </w:rPr>
      </w:pPr>
    </w:p>
    <w:p w:rsidR="00A80336" w:rsidRDefault="00A80336" w:rsidP="001C335B">
      <w:pPr>
        <w:pStyle w:val="Sangradetextonormal"/>
        <w:ind w:firstLine="0"/>
        <w:rPr>
          <w:sz w:val="22"/>
        </w:rPr>
        <w:sectPr w:rsidR="00A80336" w:rsidSect="008441CC">
          <w:type w:val="continuous"/>
          <w:pgSz w:w="11907" w:h="16840" w:code="9"/>
          <w:pgMar w:top="1701" w:right="1418" w:bottom="1418" w:left="1701" w:header="1134" w:footer="1134" w:gutter="0"/>
          <w:paperSrc w:first="15"/>
          <w:cols w:num="2" w:space="720"/>
          <w:titlePg/>
        </w:sectPr>
      </w:pPr>
    </w:p>
    <w:p w:rsidR="00317592" w:rsidRPr="008968C6" w:rsidRDefault="00317592" w:rsidP="00317592">
      <w:pPr>
        <w:pStyle w:val="Sangradetextonormal"/>
        <w:ind w:firstLine="0"/>
        <w:rPr>
          <w:sz w:val="22"/>
        </w:rPr>
      </w:pPr>
      <w:r>
        <w:rPr>
          <w:sz w:val="22"/>
        </w:rPr>
        <w:lastRenderedPageBreak/>
        <w:t xml:space="preserve">La participación de “Otros Sectores” aumentó de 9,7 por ciento a 16,4 por ciento, principalmente por el crecimiento en las </w:t>
      </w:r>
      <w:r>
        <w:rPr>
          <w:sz w:val="22"/>
        </w:rPr>
        <w:lastRenderedPageBreak/>
        <w:t>exportaciones de fosfatos naturales, cuya participación dentro del total pasó de 7,7 por ciento a 14,2 por ciento.</w:t>
      </w:r>
    </w:p>
    <w:p w:rsidR="00673026" w:rsidRDefault="00673026">
      <w:pPr>
        <w:pStyle w:val="Sangradetextonormal"/>
        <w:ind w:firstLine="0"/>
        <w:rPr>
          <w:sz w:val="22"/>
        </w:rPr>
        <w:sectPr w:rsidR="00673026" w:rsidSect="00673026">
          <w:type w:val="continuous"/>
          <w:pgSz w:w="11907" w:h="16840" w:code="9"/>
          <w:pgMar w:top="1701" w:right="1418" w:bottom="1418" w:left="1701" w:header="1134" w:footer="1134" w:gutter="0"/>
          <w:paperSrc w:first="15"/>
          <w:cols w:num="2" w:space="720"/>
          <w:titlePg/>
        </w:sectPr>
      </w:pPr>
    </w:p>
    <w:p w:rsidR="00E66F23" w:rsidRDefault="00E66F23">
      <w:pPr>
        <w:pStyle w:val="Sangradetextonormal"/>
        <w:ind w:firstLine="0"/>
        <w:rPr>
          <w:sz w:val="22"/>
        </w:rPr>
      </w:pPr>
    </w:p>
    <w:p w:rsidR="00673026" w:rsidRDefault="00673026">
      <w:pPr>
        <w:pStyle w:val="Sangradetextonormal"/>
        <w:ind w:firstLine="0"/>
        <w:rPr>
          <w:sz w:val="22"/>
        </w:rPr>
      </w:pPr>
    </w:p>
    <w:p w:rsidR="00673026" w:rsidRDefault="00673026">
      <w:pPr>
        <w:pStyle w:val="Sangradetextonormal"/>
        <w:ind w:firstLine="0"/>
        <w:rPr>
          <w:sz w:val="22"/>
        </w:rPr>
      </w:pPr>
    </w:p>
    <w:p w:rsidR="00673026" w:rsidRDefault="00673026">
      <w:pPr>
        <w:pStyle w:val="Sangradetextonormal"/>
        <w:ind w:firstLine="0"/>
        <w:rPr>
          <w:sz w:val="22"/>
        </w:rPr>
        <w:sectPr w:rsidR="00673026">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856D52" w:rsidP="00673026">
      <w:pPr>
        <w:pStyle w:val="Sangradetextonormal"/>
        <w:ind w:firstLine="0"/>
        <w:rPr>
          <w:sz w:val="22"/>
        </w:rPr>
      </w:pPr>
      <w:r>
        <w:object w:dxaOrig="20040" w:dyaOrig="9165">
          <v:shape id="_x0000_i1042" type="#_x0000_t75" style="width:438.75pt;height:185.25pt" o:ole="">
            <v:imagedata r:id="rId89" o:title=""/>
          </v:shape>
          <o:OLEObject Type="Embed" ProgID="Excel.Sheet.12" ShapeID="_x0000_i1042" DrawAspect="Content" ObjectID="_1399363696" r:id="rId90"/>
        </w:object>
      </w:r>
    </w:p>
    <w:p w:rsidR="00E66F23" w:rsidRDefault="00E66F23" w:rsidP="000865D1">
      <w:pPr>
        <w:pStyle w:val="Sangradetextonormal"/>
        <w:ind w:firstLine="0"/>
        <w:rPr>
          <w:sz w:val="22"/>
        </w:rPr>
      </w:pPr>
    </w:p>
    <w:p w:rsidR="00A80336" w:rsidRDefault="00A80336" w:rsidP="000865D1">
      <w:pPr>
        <w:pStyle w:val="Sangradetextonormal"/>
        <w:ind w:firstLine="0"/>
        <w:rPr>
          <w:sz w:val="22"/>
        </w:rPr>
        <w:sectPr w:rsidR="00A80336" w:rsidSect="000865D1">
          <w:type w:val="continuous"/>
          <w:pgSz w:w="11907" w:h="16840" w:code="9"/>
          <w:pgMar w:top="1701" w:right="1418" w:bottom="1418" w:left="1701" w:header="1134" w:footer="1134" w:gutter="0"/>
          <w:paperSrc w:first="15"/>
          <w:cols w:space="720"/>
          <w:titlePg/>
        </w:sectPr>
      </w:pPr>
    </w:p>
    <w:p w:rsidR="000865D1" w:rsidRDefault="00482FA5" w:rsidP="000865D1">
      <w:pPr>
        <w:pStyle w:val="Sangradetextonormal"/>
        <w:ind w:firstLine="0"/>
      </w:pPr>
      <w:r w:rsidRPr="00482FA5">
        <w:rPr>
          <w:noProof/>
          <w:sz w:val="22"/>
          <w:lang w:val="es-PE" w:eastAsia="es-PE"/>
        </w:rPr>
        <w:lastRenderedPageBreak/>
        <w:pict>
          <v:shape id="_x0000_s223277" type="#_x0000_t75" style="position:absolute;left:0;text-align:left;margin-left:.45pt;margin-top:2.8pt;width:434.8pt;height:206.65pt;z-index:251760128">
            <v:imagedata r:id="rId91" o:title=""/>
          </v:shape>
          <o:OLEObject Type="Embed" ProgID="Excel.Sheet.12" ShapeID="_x0000_s223277" DrawAspect="Content" ObjectID="_1399363716" r:id="rId92"/>
        </w:pict>
      </w: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A05534" w:rsidP="00ED1B8C">
      <w:pPr>
        <w:pStyle w:val="Sangradetextonormal"/>
        <w:ind w:firstLine="0"/>
      </w:pPr>
    </w:p>
    <w:p w:rsidR="00852557" w:rsidRDefault="00673026" w:rsidP="00703496">
      <w:pPr>
        <w:pStyle w:val="Sangradetextonormal"/>
        <w:ind w:left="-57" w:firstLine="0"/>
        <w:jc w:val="center"/>
      </w:pPr>
      <w:r>
        <w:object w:dxaOrig="9664" w:dyaOrig="9874">
          <v:shape id="_x0000_i1043" type="#_x0000_t75" style="width:445.5pt;height:507.75pt" o:ole="">
            <v:imagedata r:id="rId93" o:title=""/>
          </v:shape>
          <o:OLEObject Type="Embed" ProgID="Excel.Sheet.12" ShapeID="_x0000_i1043" DrawAspect="Content" ObjectID="_1399363697" r:id="rId94"/>
        </w:object>
      </w:r>
    </w:p>
    <w:p w:rsidR="00852557" w:rsidRDefault="00852557" w:rsidP="00546760">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0865D1" w:rsidRDefault="000865D1" w:rsidP="009D3FA5">
      <w:pPr>
        <w:pStyle w:val="Sangradetextonormal"/>
        <w:ind w:firstLine="0"/>
        <w:rPr>
          <w:sz w:val="22"/>
          <w:szCs w:val="22"/>
        </w:rPr>
        <w:sectPr w:rsidR="000865D1"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4B78B2" w:rsidRDefault="004B78B2" w:rsidP="00AB2CA4">
      <w:pPr>
        <w:pStyle w:val="Sangradetextonormal"/>
        <w:ind w:left="-794"/>
        <w:jc w:val="center"/>
      </w:pPr>
    </w:p>
    <w:p w:rsidR="00546760" w:rsidRDefault="00546760" w:rsidP="00AB2CA4">
      <w:pPr>
        <w:pStyle w:val="Sangradetextonormal"/>
        <w:ind w:left="-794"/>
        <w:jc w:val="center"/>
      </w:pPr>
    </w:p>
    <w:p w:rsidR="001A39A8" w:rsidRDefault="001A39A8" w:rsidP="00AB2CA4">
      <w:pPr>
        <w:pStyle w:val="Sangradetextonormal"/>
        <w:ind w:left="-794"/>
        <w:jc w:val="center"/>
      </w:pPr>
    </w:p>
    <w:p w:rsidR="001A39A8" w:rsidRDefault="001A39A8" w:rsidP="00AB2CA4">
      <w:pPr>
        <w:pStyle w:val="Sangradetextonormal"/>
        <w:ind w:left="-794"/>
        <w:jc w:val="center"/>
      </w:pPr>
    </w:p>
    <w:p w:rsidR="001A39A8" w:rsidRDefault="001A39A8" w:rsidP="00AB2CA4">
      <w:pPr>
        <w:pStyle w:val="Sangradetextonormal"/>
        <w:ind w:left="-794"/>
        <w:jc w:val="center"/>
      </w:pPr>
    </w:p>
    <w:p w:rsidR="001A39A8" w:rsidRDefault="001A39A8" w:rsidP="00AB2CA4">
      <w:pPr>
        <w:pStyle w:val="Sangradetextonormal"/>
        <w:ind w:left="-794"/>
        <w:jc w:val="center"/>
      </w:pPr>
    </w:p>
    <w:p w:rsidR="00673026" w:rsidRDefault="00673026" w:rsidP="00AB2CA4">
      <w:pPr>
        <w:pStyle w:val="Sangradetextonormal"/>
        <w:ind w:left="-794"/>
        <w:jc w:val="center"/>
      </w:pPr>
    </w:p>
    <w:p w:rsidR="00546760" w:rsidRDefault="00546760" w:rsidP="00AB2CA4">
      <w:pPr>
        <w:pStyle w:val="Sangradetextonormal"/>
        <w:ind w:left="-794"/>
        <w:jc w:val="center"/>
      </w:pPr>
    </w:p>
    <w:p w:rsidR="001A39A8" w:rsidRDefault="001A39A8" w:rsidP="00AB2CA4">
      <w:pPr>
        <w:pStyle w:val="Sangradetextonormal"/>
        <w:ind w:left="-794"/>
        <w:jc w:val="center"/>
        <w:sectPr w:rsidR="001A39A8" w:rsidSect="009A1AFB">
          <w:type w:val="continuous"/>
          <w:pgSz w:w="11907" w:h="16840" w:code="9"/>
          <w:pgMar w:top="1701" w:right="1418" w:bottom="1418" w:left="1701" w:header="1134" w:footer="1134" w:gutter="0"/>
          <w:paperSrc w:first="15"/>
          <w:cols w:space="720"/>
          <w:titlePg/>
        </w:sectPr>
      </w:pPr>
    </w:p>
    <w:p w:rsidR="001A39A8" w:rsidRDefault="00413508" w:rsidP="001A39A8">
      <w:pPr>
        <w:pStyle w:val="Sangradetextonormal"/>
        <w:ind w:firstLine="0"/>
        <w:sectPr w:rsidR="001A39A8" w:rsidSect="001A39A8">
          <w:type w:val="continuous"/>
          <w:pgSz w:w="11907" w:h="16840" w:code="9"/>
          <w:pgMar w:top="1701" w:right="1418" w:bottom="1418" w:left="1701" w:header="1134" w:footer="1134" w:gutter="0"/>
          <w:paperSrc w:first="15"/>
          <w:cols w:num="2" w:space="720"/>
          <w:titlePg/>
        </w:sectPr>
      </w:pPr>
      <w:r>
        <w:lastRenderedPageBreak/>
        <w:t>En el primer trimestre</w:t>
      </w:r>
      <w:r w:rsidRPr="00DA433C">
        <w:rPr>
          <w:sz w:val="22"/>
          <w:szCs w:val="22"/>
        </w:rPr>
        <w:t xml:space="preserve">, los principales países de destino presentaron la siguiente </w:t>
      </w:r>
      <w:r w:rsidRPr="00DA433C">
        <w:rPr>
          <w:sz w:val="22"/>
          <w:szCs w:val="22"/>
        </w:rPr>
        <w:lastRenderedPageBreak/>
        <w:t>estructura de adquisiciones, según productos:</w:t>
      </w:r>
    </w:p>
    <w:p w:rsidR="0038368B" w:rsidRDefault="0038368B" w:rsidP="00546760">
      <w:pPr>
        <w:pStyle w:val="Sangradetextonormal"/>
        <w:ind w:firstLine="0"/>
        <w:sectPr w:rsidR="0038368B" w:rsidSect="009A1AFB">
          <w:type w:val="continuous"/>
          <w:pgSz w:w="11907" w:h="16840" w:code="9"/>
          <w:pgMar w:top="1701" w:right="1418" w:bottom="1418" w:left="1701" w:header="1134" w:footer="1134" w:gutter="0"/>
          <w:paperSrc w:first="15"/>
          <w:cols w:space="720"/>
          <w:titlePg/>
        </w:sectPr>
      </w:pPr>
    </w:p>
    <w:p w:rsidR="00546760" w:rsidRDefault="00546760" w:rsidP="001A39A8">
      <w:pPr>
        <w:pStyle w:val="Sangradetextonormal"/>
        <w:ind w:firstLine="0"/>
      </w:pPr>
    </w:p>
    <w:p w:rsidR="00396AC2" w:rsidRDefault="00413508" w:rsidP="00AB2CA4">
      <w:pPr>
        <w:pStyle w:val="Sangradetextonormal"/>
        <w:ind w:left="-794"/>
        <w:jc w:val="center"/>
      </w:pPr>
      <w:r>
        <w:object w:dxaOrig="6554" w:dyaOrig="11250">
          <v:shape id="_x0000_i1044" type="#_x0000_t75" style="width:327.75pt;height:562.5pt" o:ole="">
            <v:imagedata r:id="rId95" o:title=""/>
          </v:shape>
          <o:OLEObject Type="Embed" ProgID="Excel.Sheet.12" ShapeID="_x0000_i1044" DrawAspect="Content" ObjectID="_1399363698" r:id="rId96"/>
        </w:object>
      </w:r>
    </w:p>
    <w:p w:rsidR="00396AC2" w:rsidRDefault="00396AC2" w:rsidP="00AB2CA4">
      <w:pPr>
        <w:pStyle w:val="Sangradetextonormal"/>
        <w:ind w:left="-794"/>
        <w:jc w:val="center"/>
      </w:pP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2A14B6" w:rsidRDefault="002A14B6"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546760" w:rsidRDefault="00546760" w:rsidP="00396AC2">
      <w:pPr>
        <w:pStyle w:val="Sangradetextonormal"/>
        <w:ind w:firstLine="0"/>
        <w:rPr>
          <w:sz w:val="22"/>
        </w:rPr>
      </w:pPr>
    </w:p>
    <w:p w:rsidR="0017506B" w:rsidRDefault="0017506B"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p>
    <w:p w:rsidR="004B78B2" w:rsidRDefault="00413508" w:rsidP="004B78B2">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adquirientes más importantes:</w:t>
      </w:r>
    </w:p>
    <w:p w:rsidR="002A14B6" w:rsidRDefault="002A14B6"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p>
    <w:p w:rsidR="00396AC2" w:rsidRDefault="00396AC2" w:rsidP="00396AC2">
      <w:pPr>
        <w:pStyle w:val="Sangradetextonormal"/>
        <w:ind w:firstLine="0"/>
        <w:rPr>
          <w:sz w:val="22"/>
        </w:rPr>
      </w:pPr>
    </w:p>
    <w:p w:rsidR="00396AC2" w:rsidRDefault="00396AC2" w:rsidP="00396AC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17506B" w:rsidRDefault="00413508" w:rsidP="0017506B">
      <w:pPr>
        <w:pStyle w:val="Sangradetextonormal"/>
        <w:ind w:firstLine="0"/>
        <w:jc w:val="center"/>
        <w:rPr>
          <w:noProof/>
          <w:sz w:val="22"/>
          <w:lang w:val="es-PE" w:eastAsia="es-PE"/>
        </w:rPr>
      </w:pPr>
      <w:r w:rsidRPr="00FC6A3F">
        <w:rPr>
          <w:noProof/>
          <w:sz w:val="22"/>
          <w:lang w:val="es-PE" w:eastAsia="es-PE"/>
        </w:rPr>
        <w:object w:dxaOrig="6679" w:dyaOrig="16368">
          <v:shape id="_x0000_i1045" type="#_x0000_t75" style="width:333.75pt;height:615.75pt" o:ole="">
            <v:imagedata r:id="rId97" o:title=""/>
          </v:shape>
          <o:OLEObject Type="Embed" ProgID="Excel.Sheet.12" ShapeID="_x0000_i1045" DrawAspect="Content" ObjectID="_1399363699" r:id="rId98"/>
        </w:object>
      </w:r>
    </w:p>
    <w:p w:rsidR="00396AC2" w:rsidRDefault="00396AC2" w:rsidP="004B78B2">
      <w:pPr>
        <w:pStyle w:val="Sangradetextonormal"/>
        <w:ind w:firstLine="0"/>
        <w:rPr>
          <w:sz w:val="22"/>
        </w:rPr>
      </w:pPr>
    </w:p>
    <w:p w:rsidR="00500249" w:rsidRDefault="00500249" w:rsidP="0017506B">
      <w:pPr>
        <w:pStyle w:val="Sangradetextonormal"/>
        <w:ind w:firstLine="0"/>
        <w:rPr>
          <w:sz w:val="22"/>
        </w:rPr>
        <w:sectPr w:rsidR="00500249" w:rsidSect="00500249">
          <w:type w:val="continuous"/>
          <w:pgSz w:w="11907" w:h="16840" w:code="9"/>
          <w:pgMar w:top="1701" w:right="1418" w:bottom="1418" w:left="1701" w:header="1134" w:footer="1134" w:gutter="0"/>
          <w:paperSrc w:first="15"/>
          <w:cols w:space="720"/>
          <w:titlePg/>
        </w:sectPr>
      </w:pPr>
    </w:p>
    <w:p w:rsidR="00852557" w:rsidRDefault="00852557">
      <w:pPr>
        <w:pStyle w:val="Ttulo2"/>
        <w:ind w:left="0"/>
        <w:jc w:val="left"/>
        <w:rPr>
          <w:rFonts w:ascii="Times New Roman" w:hAnsi="Times New Roman"/>
          <w:sz w:val="22"/>
        </w:rPr>
      </w:pPr>
      <w:r w:rsidRPr="00D972D0">
        <w:rPr>
          <w:rFonts w:ascii="Times New Roman" w:hAnsi="Times New Roman"/>
          <w:sz w:val="22"/>
        </w:rPr>
        <w:lastRenderedPageBreak/>
        <w:t xml:space="preserve">3.2.   </w:t>
      </w:r>
      <w:r w:rsidRPr="00D972D0">
        <w:rPr>
          <w:rFonts w:ascii="Times New Roman" w:hAnsi="Times New Roman"/>
          <w:sz w:val="22"/>
        </w:rPr>
        <w:tab/>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7D136B" w:rsidRDefault="00D972D0" w:rsidP="00D972D0">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marzo</w:t>
      </w:r>
      <w:r w:rsidRPr="00F6643F">
        <w:rPr>
          <w:rFonts w:ascii="Times New Roman" w:hAnsi="Times New Roman"/>
          <w:sz w:val="22"/>
        </w:rPr>
        <w:t>, las importaciones por</w:t>
      </w:r>
      <w:r>
        <w:rPr>
          <w:rFonts w:ascii="Times New Roman" w:hAnsi="Times New Roman"/>
          <w:sz w:val="22"/>
        </w:rPr>
        <w:t xml:space="preserve"> las aduanas de </w:t>
      </w:r>
      <w:r w:rsidRPr="00F6643F">
        <w:rPr>
          <w:rFonts w:ascii="Times New Roman" w:hAnsi="Times New Roman"/>
          <w:sz w:val="22"/>
        </w:rPr>
        <w:t>Piura fueron de US$</w:t>
      </w:r>
      <w:r>
        <w:rPr>
          <w:rFonts w:ascii="Times New Roman" w:hAnsi="Times New Roman"/>
          <w:sz w:val="22"/>
        </w:rPr>
        <w:t xml:space="preserve">85,5 </w:t>
      </w:r>
      <w:r w:rsidRPr="00F6643F">
        <w:rPr>
          <w:rFonts w:ascii="Times New Roman" w:hAnsi="Times New Roman"/>
          <w:sz w:val="22"/>
        </w:rPr>
        <w:t xml:space="preserve">millones, siendo </w:t>
      </w:r>
      <w:r>
        <w:rPr>
          <w:rFonts w:ascii="Times New Roman" w:hAnsi="Times New Roman"/>
          <w:sz w:val="22"/>
        </w:rPr>
        <w:t>infe</w:t>
      </w:r>
      <w:r w:rsidRPr="00F6643F">
        <w:rPr>
          <w:rFonts w:ascii="Times New Roman" w:hAnsi="Times New Roman"/>
          <w:sz w:val="22"/>
        </w:rPr>
        <w:t xml:space="preserve">riores en </w:t>
      </w:r>
      <w:r>
        <w:rPr>
          <w:rFonts w:ascii="Times New Roman" w:hAnsi="Times New Roman"/>
          <w:sz w:val="22"/>
        </w:rPr>
        <w:t xml:space="preserve">14,2 </w:t>
      </w:r>
      <w:r w:rsidRPr="00F6643F">
        <w:rPr>
          <w:rFonts w:ascii="Times New Roman" w:hAnsi="Times New Roman"/>
          <w:sz w:val="22"/>
        </w:rPr>
        <w:t>por ciento</w:t>
      </w:r>
      <w:r>
        <w:rPr>
          <w:rFonts w:ascii="Times New Roman" w:hAnsi="Times New Roman"/>
          <w:sz w:val="22"/>
        </w:rPr>
        <w:t xml:space="preserve"> a </w:t>
      </w:r>
      <w:r w:rsidRPr="00F6643F">
        <w:rPr>
          <w:rFonts w:ascii="Times New Roman" w:hAnsi="Times New Roman"/>
          <w:sz w:val="22"/>
        </w:rPr>
        <w:t xml:space="preserve"> las registradas en igual mes del año pasado</w:t>
      </w:r>
      <w:r>
        <w:rPr>
          <w:rFonts w:ascii="Times New Roman" w:hAnsi="Times New Roman"/>
          <w:sz w:val="22"/>
        </w:rPr>
        <w:t xml:space="preserve">. Incidió </w:t>
      </w:r>
      <w:r w:rsidRPr="00F6643F">
        <w:rPr>
          <w:rFonts w:ascii="Times New Roman" w:hAnsi="Times New Roman"/>
          <w:sz w:val="22"/>
        </w:rPr>
        <w:t>la m</w:t>
      </w:r>
      <w:r>
        <w:rPr>
          <w:rFonts w:ascii="Times New Roman" w:hAnsi="Times New Roman"/>
          <w:sz w:val="22"/>
        </w:rPr>
        <w:t>en</w:t>
      </w:r>
      <w:r w:rsidRPr="00F6643F">
        <w:rPr>
          <w:rFonts w:ascii="Times New Roman" w:hAnsi="Times New Roman"/>
          <w:sz w:val="22"/>
        </w:rPr>
        <w:t xml:space="preserve">or </w:t>
      </w:r>
      <w:r w:rsidRPr="00F6643F">
        <w:rPr>
          <w:rFonts w:ascii="Times New Roman" w:hAnsi="Times New Roman"/>
          <w:sz w:val="22"/>
        </w:rPr>
        <w:lastRenderedPageBreak/>
        <w:t>adquisici</w:t>
      </w:r>
      <w:r>
        <w:rPr>
          <w:rFonts w:ascii="Times New Roman" w:hAnsi="Times New Roman"/>
          <w:sz w:val="22"/>
        </w:rPr>
        <w:t>ó</w:t>
      </w:r>
      <w:r w:rsidRPr="00F6643F">
        <w:rPr>
          <w:rFonts w:ascii="Times New Roman" w:hAnsi="Times New Roman"/>
          <w:sz w:val="22"/>
        </w:rPr>
        <w:t>n de materias primas (</w:t>
      </w:r>
      <w:r>
        <w:rPr>
          <w:rFonts w:ascii="Times New Roman" w:hAnsi="Times New Roman"/>
          <w:sz w:val="22"/>
        </w:rPr>
        <w:t xml:space="preserve">-12,3 </w:t>
      </w:r>
      <w:r w:rsidRPr="00F6643F">
        <w:rPr>
          <w:rFonts w:ascii="Times New Roman" w:hAnsi="Times New Roman"/>
          <w:sz w:val="22"/>
        </w:rPr>
        <w:t>por ciento), 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-63,7 </w:t>
      </w:r>
      <w:r w:rsidRPr="00F6643F">
        <w:rPr>
          <w:rFonts w:ascii="Times New Roman" w:hAnsi="Times New Roman"/>
          <w:sz w:val="22"/>
        </w:rPr>
        <w:t>por ciento)</w:t>
      </w:r>
      <w:r w:rsidRPr="006148B4">
        <w:rPr>
          <w:rFonts w:ascii="Times New Roman" w:hAnsi="Times New Roman"/>
          <w:sz w:val="22"/>
        </w:rPr>
        <w:t xml:space="preserve"> </w:t>
      </w:r>
      <w:r>
        <w:rPr>
          <w:rFonts w:ascii="Times New Roman" w:hAnsi="Times New Roman"/>
          <w:sz w:val="22"/>
        </w:rPr>
        <w:t xml:space="preserve">y </w:t>
      </w:r>
      <w:r w:rsidRPr="00F6643F">
        <w:rPr>
          <w:rFonts w:ascii="Times New Roman" w:hAnsi="Times New Roman"/>
          <w:sz w:val="22"/>
        </w:rPr>
        <w:t>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-2,5 </w:t>
      </w:r>
      <w:r w:rsidRPr="00F6643F">
        <w:rPr>
          <w:rFonts w:ascii="Times New Roman" w:hAnsi="Times New Roman"/>
          <w:sz w:val="22"/>
        </w:rPr>
        <w:t>por ciento).</w:t>
      </w:r>
    </w:p>
    <w:p w:rsidR="00D972D0" w:rsidRDefault="00D972D0" w:rsidP="007D136B">
      <w:pPr>
        <w:pStyle w:val="Textoindependiente"/>
        <w:ind w:firstLine="709"/>
        <w:rPr>
          <w:sz w:val="22"/>
        </w:rPr>
        <w:sectPr w:rsidR="00D972D0">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7D136B" w:rsidRDefault="007D136B" w:rsidP="007D136B">
      <w:pPr>
        <w:pStyle w:val="Textoindependiente"/>
        <w:ind w:firstLine="709"/>
        <w:rPr>
          <w:sz w:val="22"/>
        </w:rPr>
      </w:pPr>
    </w:p>
    <w:p w:rsidR="00A05534" w:rsidRDefault="00A05534" w:rsidP="007D136B">
      <w:pPr>
        <w:pStyle w:val="Textoindependiente"/>
        <w:ind w:firstLine="709"/>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A05534" w:rsidRDefault="00B11152" w:rsidP="00D972D0">
      <w:pPr>
        <w:pStyle w:val="Textoindependiente"/>
        <w:jc w:val="center"/>
        <w:rPr>
          <w:sz w:val="22"/>
        </w:rPr>
      </w:pPr>
      <w:r w:rsidRPr="00C31672">
        <w:rPr>
          <w:noProof/>
          <w:lang w:val="es-PE" w:eastAsia="es-PE"/>
        </w:rPr>
        <w:object w:dxaOrig="10534" w:dyaOrig="7006">
          <v:shape id="_x0000_i1046" type="#_x0000_t75" style="width:435pt;height:289.5pt" o:ole="">
            <v:imagedata r:id="rId99" o:title=""/>
          </v:shape>
          <o:OLEObject Type="Embed" ProgID="Excel.Sheet.12" ShapeID="_x0000_i1046" DrawAspect="Content" ObjectID="_1399363700" r:id="rId100"/>
        </w:object>
      </w:r>
    </w:p>
    <w:p w:rsidR="00E6358C" w:rsidRDefault="00E6358C" w:rsidP="00E6358C">
      <w:pPr>
        <w:pStyle w:val="Textoindependiente"/>
        <w:rPr>
          <w:sz w:val="22"/>
        </w:rPr>
      </w:pPr>
    </w:p>
    <w:p w:rsidR="00A05534" w:rsidRDefault="00A05534" w:rsidP="007D136B">
      <w:pPr>
        <w:pStyle w:val="Textoindependiente"/>
        <w:ind w:left="-794" w:firstLine="709"/>
        <w:jc w:val="center"/>
        <w:rPr>
          <w:sz w:val="22"/>
        </w:rPr>
        <w:sectPr w:rsidR="00A05534" w:rsidSect="007D136B">
          <w:type w:val="continuous"/>
          <w:pgSz w:w="11907" w:h="16840" w:code="9"/>
          <w:pgMar w:top="1701" w:right="1418" w:bottom="1418" w:left="1701" w:header="1134" w:footer="1134" w:gutter="0"/>
          <w:paperSrc w:first="15"/>
          <w:cols w:space="720"/>
          <w:titlePg/>
        </w:sectPr>
      </w:pPr>
    </w:p>
    <w:p w:rsidR="00D972D0" w:rsidRDefault="00D972D0" w:rsidP="00D972D0">
      <w:pPr>
        <w:pStyle w:val="Sangradetextonormal"/>
        <w:ind w:firstLine="0"/>
        <w:rPr>
          <w:sz w:val="22"/>
        </w:rPr>
      </w:pPr>
      <w:r>
        <w:rPr>
          <w:sz w:val="22"/>
        </w:rPr>
        <w:lastRenderedPageBreak/>
        <w:t>En los tres primeros meses del año, las importaciones tuvieron una contracción de 5,3 por ciento respecto de similar período del año previo.</w:t>
      </w:r>
    </w:p>
    <w:p w:rsidR="00D972D0" w:rsidRDefault="00D972D0" w:rsidP="00D972D0">
      <w:pPr>
        <w:pStyle w:val="Sangradetextonormal"/>
        <w:ind w:firstLine="0"/>
        <w:rPr>
          <w:sz w:val="22"/>
        </w:rPr>
      </w:pPr>
      <w:r>
        <w:rPr>
          <w:sz w:val="22"/>
        </w:rPr>
        <w:lastRenderedPageBreak/>
        <w:t>La participación relativa de las materias primas fue de 83,0 por ciento frente a 13,1 por ciento de los bienes de capital y 3,9 por ciento de los bienes de consumo.</w:t>
      </w:r>
    </w:p>
    <w:p w:rsidR="00E6358C" w:rsidRDefault="00E6358C" w:rsidP="00E6358C">
      <w:pPr>
        <w:pStyle w:val="Sangradetextonormal"/>
        <w:ind w:firstLine="0"/>
        <w:rPr>
          <w:sz w:val="22"/>
        </w:rPr>
        <w:sectPr w:rsidR="00E6358C" w:rsidSect="00E6358C">
          <w:type w:val="continuous"/>
          <w:pgSz w:w="11907" w:h="16840" w:code="9"/>
          <w:pgMar w:top="1701" w:right="1418" w:bottom="1418" w:left="1701" w:header="1134" w:footer="1134" w:gutter="0"/>
          <w:paperSrc w:first="15"/>
          <w:cols w:num="2" w:space="720"/>
          <w:titlePg/>
        </w:sectPr>
      </w:pPr>
    </w:p>
    <w:p w:rsidR="00FA27DE" w:rsidRDefault="00FA27DE" w:rsidP="00E6358C">
      <w:pPr>
        <w:pStyle w:val="Sangradetextonormal"/>
        <w:ind w:firstLine="0"/>
        <w:rPr>
          <w:sz w:val="22"/>
        </w:rPr>
      </w:pPr>
    </w:p>
    <w:p w:rsidR="001C335B" w:rsidRDefault="00482FA5" w:rsidP="001C335B">
      <w:pPr>
        <w:pStyle w:val="Sangradetextonormal"/>
        <w:ind w:firstLine="0"/>
        <w:rPr>
          <w:sz w:val="22"/>
        </w:rPr>
      </w:pPr>
      <w:r>
        <w:rPr>
          <w:noProof/>
          <w:sz w:val="22"/>
          <w:lang w:val="es-PE" w:eastAsia="es-PE"/>
        </w:rPr>
        <w:pict>
          <v:shape id="_x0000_s223321" type="#_x0000_t75" style="position:absolute;left:0;text-align:left;margin-left:14.7pt;margin-top:11pt;width:420.4pt;height:184.3pt;z-index:251761152">
            <v:imagedata r:id="rId101" o:title=""/>
          </v:shape>
          <o:OLEObject Type="Embed" ProgID="Excel.Sheet.12" ShapeID="_x0000_s223321" DrawAspect="Content" ObjectID="_1399363717" r:id="rId102"/>
        </w:pict>
      </w:r>
    </w:p>
    <w:p w:rsidR="007D136B" w:rsidRDefault="007D136B">
      <w:pPr>
        <w:pStyle w:val="Sangradetextonormal"/>
        <w:ind w:firstLine="0"/>
        <w:jc w:val="center"/>
        <w:rPr>
          <w:sz w:val="22"/>
        </w:rPr>
      </w:pPr>
    </w:p>
    <w:p w:rsidR="00E6358C" w:rsidRDefault="00E6358C">
      <w:pPr>
        <w:pStyle w:val="Sangradetextonormal"/>
        <w:ind w:firstLine="0"/>
        <w:jc w:val="center"/>
        <w:rPr>
          <w:sz w:val="22"/>
        </w:rPr>
        <w:sectPr w:rsidR="00E6358C" w:rsidSect="007D136B">
          <w:type w:val="continuous"/>
          <w:pgSz w:w="11907" w:h="16840" w:code="9"/>
          <w:pgMar w:top="1701" w:right="1418" w:bottom="1418" w:left="1701" w:header="1134" w:footer="1134" w:gutter="0"/>
          <w:paperSrc w:first="15"/>
          <w:cols w:num="2" w:space="720"/>
          <w:titlePg/>
        </w:sectPr>
      </w:pPr>
    </w:p>
    <w:p w:rsidR="00852557" w:rsidRDefault="00852557"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pPr>
    </w:p>
    <w:p w:rsidR="00D972D0" w:rsidRDefault="00D972D0" w:rsidP="00E747EF">
      <w:pPr>
        <w:pStyle w:val="Sangradetextonormal"/>
        <w:ind w:left="-113" w:firstLine="0"/>
        <w:jc w:val="center"/>
        <w:rPr>
          <w:sz w:val="22"/>
        </w:rPr>
        <w:sectPr w:rsidR="00D972D0">
          <w:type w:val="continuous"/>
          <w:pgSz w:w="11907" w:h="16840" w:code="9"/>
          <w:pgMar w:top="1701" w:right="1418" w:bottom="1418" w:left="1701" w:header="1134" w:footer="1134" w:gutter="0"/>
          <w:paperSrc w:first="15"/>
          <w:cols w:space="720"/>
          <w:titlePg/>
        </w:sectPr>
      </w:pP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B11152" w:rsidRPr="00970D17" w:rsidRDefault="00B11152" w:rsidP="00B11152">
      <w:pPr>
        <w:pStyle w:val="Sangradetextonormal"/>
        <w:ind w:firstLine="0"/>
        <w:rPr>
          <w:sz w:val="22"/>
        </w:rPr>
      </w:pPr>
      <w:r w:rsidRPr="00970D17">
        <w:rPr>
          <w:sz w:val="22"/>
        </w:rPr>
        <w:lastRenderedPageBreak/>
        <w:t xml:space="preserve">En </w:t>
      </w:r>
      <w:r>
        <w:rPr>
          <w:sz w:val="22"/>
        </w:rPr>
        <w:t>el primer trimestre del año</w:t>
      </w:r>
      <w:r w:rsidRPr="00970D17">
        <w:rPr>
          <w:sz w:val="22"/>
        </w:rPr>
        <w:t>, los principales países de origen de las importaciones por las aduanas de Paita y Talara fueron</w:t>
      </w:r>
      <w:r>
        <w:rPr>
          <w:sz w:val="22"/>
        </w:rPr>
        <w:t xml:space="preserve"> los siguientes</w:t>
      </w:r>
      <w:r w:rsidRPr="00970D17">
        <w:rPr>
          <w:sz w:val="22"/>
        </w:rPr>
        <w:t>:</w:t>
      </w:r>
    </w:p>
    <w:p w:rsidR="00B11152" w:rsidRPr="00970D17" w:rsidRDefault="00B11152" w:rsidP="00B11152">
      <w:pPr>
        <w:pStyle w:val="Sangradetextonormal"/>
        <w:ind w:firstLine="0"/>
        <w:rPr>
          <w:bCs/>
          <w:snapToGrid w:val="0"/>
          <w:sz w:val="22"/>
        </w:rPr>
      </w:pPr>
    </w:p>
    <w:p w:rsidR="00B11152" w:rsidRPr="00970D17" w:rsidRDefault="00B11152" w:rsidP="00B11152">
      <w:pPr>
        <w:pStyle w:val="Sangradetextonormal"/>
        <w:ind w:firstLine="0"/>
        <w:rPr>
          <w:bCs/>
          <w:snapToGrid w:val="0"/>
          <w:sz w:val="22"/>
        </w:rPr>
      </w:pPr>
      <w:r w:rsidRPr="00970D17">
        <w:rPr>
          <w:bCs/>
          <w:snapToGrid w:val="0"/>
          <w:sz w:val="22"/>
        </w:rPr>
        <w:t>China, con US$</w:t>
      </w:r>
      <w:r>
        <w:rPr>
          <w:bCs/>
          <w:snapToGrid w:val="0"/>
          <w:sz w:val="22"/>
        </w:rPr>
        <w:t>88</w:t>
      </w:r>
      <w:r w:rsidRPr="00970D17">
        <w:rPr>
          <w:bCs/>
          <w:snapToGrid w:val="0"/>
          <w:sz w:val="22"/>
        </w:rPr>
        <w:t>,</w:t>
      </w:r>
      <w:r>
        <w:rPr>
          <w:bCs/>
          <w:snapToGrid w:val="0"/>
          <w:sz w:val="22"/>
        </w:rPr>
        <w:t>7</w:t>
      </w:r>
      <w:r w:rsidRPr="00970D17">
        <w:rPr>
          <w:bCs/>
          <w:snapToGrid w:val="0"/>
          <w:sz w:val="22"/>
        </w:rPr>
        <w:t xml:space="preserve"> millones </w:t>
      </w:r>
      <w:r>
        <w:rPr>
          <w:bCs/>
          <w:snapToGrid w:val="0"/>
          <w:sz w:val="22"/>
        </w:rPr>
        <w:t>de</w:t>
      </w:r>
      <w:r w:rsidRPr="00970D17">
        <w:rPr>
          <w:bCs/>
          <w:snapToGrid w:val="0"/>
          <w:sz w:val="22"/>
        </w:rPr>
        <w:t xml:space="preserve"> petróleo y derivados (US$</w:t>
      </w:r>
      <w:r>
        <w:rPr>
          <w:bCs/>
          <w:snapToGrid w:val="0"/>
          <w:sz w:val="22"/>
        </w:rPr>
        <w:t>79</w:t>
      </w:r>
      <w:r w:rsidRPr="00970D17">
        <w:rPr>
          <w:bCs/>
          <w:snapToGrid w:val="0"/>
          <w:sz w:val="22"/>
        </w:rPr>
        <w:t>,</w:t>
      </w:r>
      <w:r>
        <w:rPr>
          <w:bCs/>
          <w:snapToGrid w:val="0"/>
          <w:sz w:val="22"/>
        </w:rPr>
        <w:t>9</w:t>
      </w:r>
      <w:r w:rsidRPr="00970D17">
        <w:rPr>
          <w:bCs/>
          <w:snapToGrid w:val="0"/>
          <w:sz w:val="22"/>
        </w:rPr>
        <w:t xml:space="preserve"> millones), tubos para perforación de petróleo o gas (US$</w:t>
      </w:r>
      <w:r>
        <w:rPr>
          <w:bCs/>
          <w:snapToGrid w:val="0"/>
          <w:sz w:val="22"/>
        </w:rPr>
        <w:t>4</w:t>
      </w:r>
      <w:r w:rsidRPr="00970D17">
        <w:rPr>
          <w:bCs/>
          <w:snapToGrid w:val="0"/>
          <w:sz w:val="22"/>
        </w:rPr>
        <w:t>,</w:t>
      </w:r>
      <w:r>
        <w:rPr>
          <w:bCs/>
          <w:snapToGrid w:val="0"/>
          <w:sz w:val="22"/>
        </w:rPr>
        <w:t>8</w:t>
      </w:r>
      <w:r w:rsidRPr="00970D17">
        <w:rPr>
          <w:bCs/>
          <w:snapToGrid w:val="0"/>
          <w:sz w:val="22"/>
        </w:rPr>
        <w:t xml:space="preserve"> millones), motocicletas (US$0,</w:t>
      </w:r>
      <w:r>
        <w:rPr>
          <w:bCs/>
          <w:snapToGrid w:val="0"/>
          <w:sz w:val="22"/>
        </w:rPr>
        <w:t>3</w:t>
      </w:r>
      <w:r w:rsidRPr="00970D17">
        <w:rPr>
          <w:bCs/>
          <w:snapToGrid w:val="0"/>
          <w:sz w:val="22"/>
        </w:rPr>
        <w:t xml:space="preserve"> millones), entre otros. </w:t>
      </w:r>
    </w:p>
    <w:p w:rsidR="00B11152" w:rsidRPr="00970D17" w:rsidRDefault="00B11152" w:rsidP="00B11152">
      <w:pPr>
        <w:pStyle w:val="Sangradetextonormal"/>
        <w:ind w:firstLine="0"/>
        <w:rPr>
          <w:bCs/>
          <w:snapToGrid w:val="0"/>
          <w:sz w:val="22"/>
        </w:rPr>
      </w:pPr>
    </w:p>
    <w:p w:rsidR="00B11152" w:rsidRPr="00970D17" w:rsidRDefault="00B11152" w:rsidP="00B11152">
      <w:pPr>
        <w:pStyle w:val="Sangradetextonormal"/>
        <w:ind w:firstLine="0"/>
        <w:rPr>
          <w:bCs/>
          <w:snapToGrid w:val="0"/>
          <w:sz w:val="22"/>
        </w:rPr>
      </w:pPr>
      <w:r w:rsidRPr="00970D17">
        <w:rPr>
          <w:bCs/>
          <w:snapToGrid w:val="0"/>
          <w:sz w:val="22"/>
        </w:rPr>
        <w:t>Suiza, con US$</w:t>
      </w:r>
      <w:r>
        <w:rPr>
          <w:bCs/>
          <w:snapToGrid w:val="0"/>
          <w:sz w:val="22"/>
        </w:rPr>
        <w:t>76</w:t>
      </w:r>
      <w:r w:rsidRPr="00970D17">
        <w:rPr>
          <w:bCs/>
          <w:snapToGrid w:val="0"/>
          <w:sz w:val="22"/>
        </w:rPr>
        <w:t>,</w:t>
      </w:r>
      <w:r>
        <w:rPr>
          <w:bCs/>
          <w:snapToGrid w:val="0"/>
          <w:sz w:val="22"/>
        </w:rPr>
        <w:t>3</w:t>
      </w:r>
      <w:r w:rsidRPr="00970D17">
        <w:rPr>
          <w:bCs/>
          <w:snapToGrid w:val="0"/>
          <w:sz w:val="22"/>
        </w:rPr>
        <w:t xml:space="preserve"> millones </w:t>
      </w:r>
      <w:r>
        <w:rPr>
          <w:bCs/>
          <w:snapToGrid w:val="0"/>
          <w:sz w:val="22"/>
        </w:rPr>
        <w:t>de</w:t>
      </w:r>
      <w:r w:rsidRPr="00970D17">
        <w:rPr>
          <w:bCs/>
          <w:snapToGrid w:val="0"/>
          <w:sz w:val="22"/>
        </w:rPr>
        <w:t xml:space="preserve"> petróleo y derivados (US$4</w:t>
      </w:r>
      <w:r>
        <w:rPr>
          <w:bCs/>
          <w:snapToGrid w:val="0"/>
          <w:sz w:val="22"/>
        </w:rPr>
        <w:t>3</w:t>
      </w:r>
      <w:r w:rsidRPr="00970D17">
        <w:rPr>
          <w:bCs/>
          <w:snapToGrid w:val="0"/>
          <w:sz w:val="22"/>
        </w:rPr>
        <w:t>,</w:t>
      </w:r>
      <w:r>
        <w:rPr>
          <w:bCs/>
          <w:snapToGrid w:val="0"/>
          <w:sz w:val="22"/>
        </w:rPr>
        <w:t>9</w:t>
      </w:r>
      <w:r w:rsidRPr="00970D17">
        <w:rPr>
          <w:bCs/>
          <w:snapToGrid w:val="0"/>
          <w:sz w:val="22"/>
        </w:rPr>
        <w:t xml:space="preserve"> millones), productos químicos para la industria (US$</w:t>
      </w:r>
      <w:r>
        <w:rPr>
          <w:bCs/>
          <w:snapToGrid w:val="0"/>
          <w:sz w:val="22"/>
        </w:rPr>
        <w:t>24</w:t>
      </w:r>
      <w:r w:rsidRPr="00970D17">
        <w:rPr>
          <w:bCs/>
          <w:snapToGrid w:val="0"/>
          <w:sz w:val="22"/>
        </w:rPr>
        <w:t>,</w:t>
      </w:r>
      <w:r>
        <w:rPr>
          <w:bCs/>
          <w:snapToGrid w:val="0"/>
          <w:sz w:val="22"/>
        </w:rPr>
        <w:t>1</w:t>
      </w:r>
      <w:r w:rsidRPr="00970D17">
        <w:rPr>
          <w:bCs/>
          <w:snapToGrid w:val="0"/>
          <w:sz w:val="22"/>
        </w:rPr>
        <w:t xml:space="preserve"> </w:t>
      </w:r>
      <w:r w:rsidRPr="00970D17">
        <w:rPr>
          <w:bCs/>
          <w:snapToGrid w:val="0"/>
          <w:sz w:val="22"/>
        </w:rPr>
        <w:lastRenderedPageBreak/>
        <w:t>millones), úrea y otros abonos (US$6,</w:t>
      </w:r>
      <w:r>
        <w:rPr>
          <w:bCs/>
          <w:snapToGrid w:val="0"/>
          <w:sz w:val="22"/>
        </w:rPr>
        <w:t>3</w:t>
      </w:r>
      <w:r w:rsidRPr="00970D17">
        <w:rPr>
          <w:bCs/>
          <w:snapToGrid w:val="0"/>
          <w:sz w:val="22"/>
        </w:rPr>
        <w:t xml:space="preserve"> millones), alcohol etílico (US$2,2 millones).</w:t>
      </w:r>
    </w:p>
    <w:p w:rsidR="00B11152" w:rsidRPr="00970D17" w:rsidRDefault="00B11152" w:rsidP="00B11152">
      <w:pPr>
        <w:pStyle w:val="Sangradetextonormal"/>
        <w:ind w:firstLine="0"/>
        <w:rPr>
          <w:bCs/>
          <w:snapToGrid w:val="0"/>
          <w:sz w:val="22"/>
        </w:rPr>
      </w:pPr>
      <w:r w:rsidRPr="00970D17">
        <w:rPr>
          <w:bCs/>
          <w:snapToGrid w:val="0"/>
          <w:sz w:val="22"/>
        </w:rPr>
        <w:t>Estados Unidos, con US$</w:t>
      </w:r>
      <w:r>
        <w:rPr>
          <w:bCs/>
          <w:snapToGrid w:val="0"/>
          <w:sz w:val="22"/>
        </w:rPr>
        <w:t>40</w:t>
      </w:r>
      <w:r w:rsidRPr="00970D17">
        <w:rPr>
          <w:bCs/>
          <w:snapToGrid w:val="0"/>
          <w:sz w:val="22"/>
        </w:rPr>
        <w:t>,</w:t>
      </w:r>
      <w:r>
        <w:rPr>
          <w:bCs/>
          <w:snapToGrid w:val="0"/>
          <w:sz w:val="22"/>
        </w:rPr>
        <w:t>4</w:t>
      </w:r>
      <w:r w:rsidRPr="00970D17">
        <w:rPr>
          <w:bCs/>
          <w:snapToGrid w:val="0"/>
          <w:sz w:val="22"/>
        </w:rPr>
        <w:t xml:space="preserve"> millones </w:t>
      </w:r>
      <w:r>
        <w:rPr>
          <w:bCs/>
          <w:snapToGrid w:val="0"/>
          <w:sz w:val="22"/>
        </w:rPr>
        <w:t>de</w:t>
      </w:r>
      <w:r w:rsidRPr="00970D17">
        <w:rPr>
          <w:bCs/>
          <w:snapToGrid w:val="0"/>
          <w:sz w:val="22"/>
        </w:rPr>
        <w:t xml:space="preserve"> alcohol etílico (US$2,1 millones), algodón (US$1,9 millones), trigo (US$</w:t>
      </w:r>
      <w:r>
        <w:rPr>
          <w:bCs/>
          <w:snapToGrid w:val="0"/>
          <w:sz w:val="22"/>
        </w:rPr>
        <w:t>1</w:t>
      </w:r>
      <w:r w:rsidRPr="00970D17">
        <w:rPr>
          <w:bCs/>
          <w:snapToGrid w:val="0"/>
          <w:sz w:val="22"/>
        </w:rPr>
        <w:t>,</w:t>
      </w:r>
      <w:r>
        <w:rPr>
          <w:bCs/>
          <w:snapToGrid w:val="0"/>
          <w:sz w:val="22"/>
        </w:rPr>
        <w:t>7</w:t>
      </w:r>
      <w:r w:rsidRPr="00970D17">
        <w:rPr>
          <w:bCs/>
          <w:snapToGrid w:val="0"/>
          <w:sz w:val="22"/>
        </w:rPr>
        <w:t xml:space="preserve"> millones), aceite de soja (US$</w:t>
      </w:r>
      <w:r>
        <w:rPr>
          <w:bCs/>
          <w:snapToGrid w:val="0"/>
          <w:sz w:val="22"/>
        </w:rPr>
        <w:t>4</w:t>
      </w:r>
      <w:r w:rsidRPr="00970D17">
        <w:rPr>
          <w:bCs/>
          <w:snapToGrid w:val="0"/>
          <w:sz w:val="22"/>
        </w:rPr>
        <w:t xml:space="preserve"> millones), úrea y otros abonos (US$</w:t>
      </w:r>
      <w:r>
        <w:rPr>
          <w:bCs/>
          <w:snapToGrid w:val="0"/>
          <w:sz w:val="22"/>
        </w:rPr>
        <w:t>6</w:t>
      </w:r>
      <w:r w:rsidRPr="00970D17">
        <w:rPr>
          <w:bCs/>
          <w:snapToGrid w:val="0"/>
          <w:sz w:val="22"/>
        </w:rPr>
        <w:t xml:space="preserve"> millones).</w:t>
      </w:r>
    </w:p>
    <w:p w:rsidR="00B11152" w:rsidRPr="00970D17" w:rsidRDefault="00B11152" w:rsidP="00B11152">
      <w:pPr>
        <w:pStyle w:val="Sangradetextonormal"/>
        <w:ind w:firstLine="0"/>
        <w:rPr>
          <w:bCs/>
          <w:snapToGrid w:val="0"/>
          <w:sz w:val="22"/>
        </w:rPr>
      </w:pPr>
    </w:p>
    <w:p w:rsidR="00B11152" w:rsidRPr="00970D17" w:rsidRDefault="00B11152" w:rsidP="00B11152">
      <w:pPr>
        <w:pStyle w:val="Sangradetextonormal"/>
        <w:ind w:firstLine="0"/>
        <w:rPr>
          <w:bCs/>
          <w:snapToGrid w:val="0"/>
          <w:sz w:val="22"/>
        </w:rPr>
      </w:pPr>
      <w:r w:rsidRPr="00970D17">
        <w:rPr>
          <w:bCs/>
          <w:snapToGrid w:val="0"/>
          <w:sz w:val="22"/>
        </w:rPr>
        <w:t>Chile, con US$</w:t>
      </w:r>
      <w:r>
        <w:rPr>
          <w:bCs/>
          <w:snapToGrid w:val="0"/>
          <w:sz w:val="22"/>
        </w:rPr>
        <w:t>7</w:t>
      </w:r>
      <w:r w:rsidRPr="00970D17">
        <w:rPr>
          <w:bCs/>
          <w:snapToGrid w:val="0"/>
          <w:sz w:val="22"/>
        </w:rPr>
        <w:t>,</w:t>
      </w:r>
      <w:r>
        <w:rPr>
          <w:bCs/>
          <w:snapToGrid w:val="0"/>
          <w:sz w:val="22"/>
        </w:rPr>
        <w:t>4</w:t>
      </w:r>
      <w:r w:rsidRPr="00970D17">
        <w:rPr>
          <w:bCs/>
          <w:snapToGrid w:val="0"/>
          <w:sz w:val="22"/>
        </w:rPr>
        <w:t xml:space="preserve"> millones </w:t>
      </w:r>
      <w:r>
        <w:rPr>
          <w:bCs/>
          <w:snapToGrid w:val="0"/>
          <w:sz w:val="22"/>
        </w:rPr>
        <w:t>de</w:t>
      </w:r>
      <w:r w:rsidRPr="00970D17">
        <w:rPr>
          <w:bCs/>
          <w:snapToGrid w:val="0"/>
          <w:sz w:val="22"/>
        </w:rPr>
        <w:t xml:space="preserve"> aceites de pescado (US$1,9 millones), abonos (US$2,</w:t>
      </w:r>
      <w:r>
        <w:rPr>
          <w:bCs/>
          <w:snapToGrid w:val="0"/>
          <w:sz w:val="22"/>
        </w:rPr>
        <w:t>7</w:t>
      </w:r>
      <w:r w:rsidRPr="00970D17">
        <w:rPr>
          <w:bCs/>
          <w:snapToGrid w:val="0"/>
          <w:sz w:val="22"/>
        </w:rPr>
        <w:t xml:space="preserve"> millones), madera en bruto (US$0,</w:t>
      </w:r>
      <w:r>
        <w:rPr>
          <w:bCs/>
          <w:snapToGrid w:val="0"/>
          <w:sz w:val="22"/>
        </w:rPr>
        <w:t>9</w:t>
      </w:r>
      <w:r w:rsidRPr="00970D17">
        <w:rPr>
          <w:bCs/>
          <w:snapToGrid w:val="0"/>
          <w:sz w:val="22"/>
        </w:rPr>
        <w:t xml:space="preserve"> millones), entre otros.</w:t>
      </w:r>
    </w:p>
    <w:p w:rsidR="00B11152" w:rsidRPr="00970D17" w:rsidRDefault="00B11152" w:rsidP="00B11152">
      <w:pPr>
        <w:pStyle w:val="Sangradetextonormal"/>
        <w:ind w:firstLine="0"/>
        <w:rPr>
          <w:bCs/>
          <w:snapToGrid w:val="0"/>
          <w:sz w:val="22"/>
        </w:rPr>
      </w:pPr>
    </w:p>
    <w:p w:rsidR="00FA27DE" w:rsidRDefault="00B11152" w:rsidP="00B11152">
      <w:pPr>
        <w:pStyle w:val="Sangradetextonormal"/>
        <w:ind w:firstLine="0"/>
        <w:rPr>
          <w:bCs/>
          <w:snapToGrid w:val="0"/>
          <w:sz w:val="22"/>
        </w:rPr>
      </w:pPr>
      <w:r w:rsidRPr="00970D17">
        <w:rPr>
          <w:bCs/>
          <w:snapToGrid w:val="0"/>
          <w:sz w:val="22"/>
        </w:rPr>
        <w:t>Colombia, con US$</w:t>
      </w:r>
      <w:r>
        <w:rPr>
          <w:bCs/>
          <w:snapToGrid w:val="0"/>
          <w:sz w:val="22"/>
        </w:rPr>
        <w:t>6</w:t>
      </w:r>
      <w:r w:rsidRPr="00970D17">
        <w:rPr>
          <w:bCs/>
          <w:snapToGrid w:val="0"/>
          <w:sz w:val="22"/>
        </w:rPr>
        <w:t>,</w:t>
      </w:r>
      <w:r>
        <w:rPr>
          <w:bCs/>
          <w:snapToGrid w:val="0"/>
          <w:sz w:val="22"/>
        </w:rPr>
        <w:t>9</w:t>
      </w:r>
      <w:r w:rsidRPr="00970D17">
        <w:rPr>
          <w:bCs/>
          <w:snapToGrid w:val="0"/>
          <w:sz w:val="22"/>
        </w:rPr>
        <w:t xml:space="preserve"> millones </w:t>
      </w:r>
      <w:r>
        <w:rPr>
          <w:bCs/>
          <w:snapToGrid w:val="0"/>
          <w:sz w:val="22"/>
        </w:rPr>
        <w:t>de</w:t>
      </w:r>
      <w:r w:rsidRPr="00970D17">
        <w:rPr>
          <w:bCs/>
          <w:snapToGrid w:val="0"/>
          <w:sz w:val="22"/>
        </w:rPr>
        <w:t xml:space="preserve"> úrea y otros abonos (US$</w:t>
      </w:r>
      <w:r>
        <w:rPr>
          <w:bCs/>
          <w:snapToGrid w:val="0"/>
          <w:sz w:val="22"/>
        </w:rPr>
        <w:t>5</w:t>
      </w:r>
      <w:r w:rsidRPr="00970D17">
        <w:rPr>
          <w:bCs/>
          <w:snapToGrid w:val="0"/>
          <w:sz w:val="22"/>
        </w:rPr>
        <w:t>,7 millones).</w:t>
      </w:r>
    </w:p>
    <w:p w:rsidR="00E66F23" w:rsidRDefault="00E66F23" w:rsidP="007D136B">
      <w:pPr>
        <w:pStyle w:val="Sangradetextonormal"/>
        <w:ind w:firstLine="0"/>
        <w:rPr>
          <w:bCs/>
          <w:snapToGrid w:val="0"/>
          <w:sz w:val="22"/>
        </w:rPr>
        <w:sectPr w:rsidR="00E66F23" w:rsidSect="00FA27DE">
          <w:type w:val="continuous"/>
          <w:pgSz w:w="11907" w:h="16840" w:code="9"/>
          <w:pgMar w:top="1701" w:right="1418" w:bottom="1418" w:left="1701" w:header="1134" w:footer="1134" w:gutter="0"/>
          <w:paperSrc w:first="15"/>
          <w:cols w:num="2" w:space="720"/>
          <w:titlePg/>
        </w:sectPr>
      </w:pPr>
    </w:p>
    <w:p w:rsidR="000C7CD7" w:rsidRDefault="000C7CD7" w:rsidP="000C7CD7">
      <w:pPr>
        <w:pStyle w:val="Sangradetextonormal"/>
        <w:ind w:firstLine="0"/>
        <w:jc w:val="center"/>
      </w:pPr>
    </w:p>
    <w:p w:rsidR="00B11152" w:rsidRDefault="00B11152" w:rsidP="000C7CD7">
      <w:pPr>
        <w:pStyle w:val="Sangradetextonormal"/>
        <w:ind w:firstLine="0"/>
        <w:jc w:val="center"/>
      </w:pPr>
    </w:p>
    <w:p w:rsidR="001C335B" w:rsidRDefault="00B11152" w:rsidP="000C7CD7">
      <w:pPr>
        <w:pStyle w:val="Sangradetextonormal"/>
        <w:ind w:firstLine="0"/>
        <w:jc w:val="center"/>
      </w:pPr>
      <w:r>
        <w:object w:dxaOrig="8999" w:dyaOrig="3712">
          <v:shape id="_x0000_i1047" type="#_x0000_t75" style="width:439.5pt;height:181.5pt" o:ole="">
            <v:imagedata r:id="rId103" o:title=""/>
          </v:shape>
          <o:OLEObject Type="Embed" ProgID="Excel.Sheet.12" ShapeID="_x0000_i1047" DrawAspect="Content" ObjectID="_1399363701" r:id="rId104"/>
        </w:object>
      </w:r>
    </w:p>
    <w:p w:rsidR="00E66F23" w:rsidRDefault="00E66F23"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DB6C57">
      <w:pPr>
        <w:pStyle w:val="Sangradetextonormal"/>
        <w:ind w:firstLine="0"/>
      </w:pPr>
    </w:p>
    <w:p w:rsidR="00E6358C" w:rsidRDefault="00E6358C" w:rsidP="00DB6C57">
      <w:pPr>
        <w:pStyle w:val="Sangradetextonormal"/>
        <w:ind w:firstLine="0"/>
      </w:pPr>
    </w:p>
    <w:p w:rsidR="00B11152" w:rsidRDefault="00B11152" w:rsidP="00DB6C57">
      <w:pPr>
        <w:pStyle w:val="Sangradetextonormal"/>
        <w:ind w:firstLine="0"/>
      </w:pPr>
    </w:p>
    <w:p w:rsidR="00E66F23" w:rsidRDefault="00E66F23" w:rsidP="000C7CD7">
      <w:pPr>
        <w:pStyle w:val="Sangradetextonormal"/>
        <w:ind w:firstLine="0"/>
        <w:jc w:val="center"/>
      </w:pPr>
    </w:p>
    <w:p w:rsidR="00EE48F7" w:rsidRDefault="00482FA5">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482FA5">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DB53D8" w:rsidRPr="00D819DD" w:rsidRDefault="00DB53D8">
                  <w:pPr>
                    <w:rPr>
                      <w:sz w:val="20"/>
                      <w:szCs w:val="20"/>
                    </w:rPr>
                  </w:pPr>
                </w:p>
              </w:txbxContent>
            </v:textbox>
          </v:shape>
        </w:pict>
      </w:r>
    </w:p>
    <w:bookmarkEnd w:id="9"/>
    <w:bookmarkEnd w:id="10"/>
    <w:p w:rsidR="00852557" w:rsidRPr="00E431E6" w:rsidRDefault="00852557">
      <w:pPr>
        <w:pStyle w:val="Ttulo4"/>
        <w:keepNext w:val="0"/>
        <w:numPr>
          <w:ilvl w:val="0"/>
          <w:numId w:val="2"/>
        </w:numPr>
        <w:tabs>
          <w:tab w:val="clear" w:pos="-1099"/>
        </w:tabs>
        <w:jc w:val="left"/>
        <w:rPr>
          <w:sz w:val="26"/>
        </w:rPr>
      </w:pPr>
      <w:r w:rsidRPr="00E431E6">
        <w:rPr>
          <w:sz w:val="26"/>
        </w:rPr>
        <w:lastRenderedPageBreak/>
        <w:t>FINANZAS PÚBLICAS</w:t>
      </w:r>
    </w:p>
    <w:p w:rsidR="00852557" w:rsidRPr="003B7B43" w:rsidRDefault="00852557"/>
    <w:p w:rsidR="00852557" w:rsidRPr="003D5A43" w:rsidRDefault="00852557">
      <w:pPr>
        <w:numPr>
          <w:ilvl w:val="1"/>
          <w:numId w:val="3"/>
        </w:numPr>
        <w:rPr>
          <w:b/>
        </w:rPr>
      </w:pPr>
      <w:r w:rsidRPr="003D5A43">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05"/>
          <w:footerReference w:type="default" r:id="rId106"/>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36002A" w:rsidRDefault="00130FC0" w:rsidP="00CA6848">
      <w:pPr>
        <w:pStyle w:val="Textoindependiente2"/>
        <w:tabs>
          <w:tab w:val="left" w:pos="2552"/>
        </w:tabs>
        <w:rPr>
          <w:sz w:val="22"/>
        </w:rPr>
      </w:pPr>
      <w:r>
        <w:rPr>
          <w:sz w:val="22"/>
        </w:rPr>
        <w:lastRenderedPageBreak/>
        <w:t xml:space="preserve">En marzo, los ingresos recaudados por la SUNAT en Piura bordearon los S/.199,0 millones, registrando una expansión real del 19,5 por ciento en relación con igual mes del año anterior. Esto obedeció principalmente al incremento en la captación de impuestos a los ingresos (38,3 </w:t>
      </w:r>
      <w:r>
        <w:rPr>
          <w:sz w:val="22"/>
        </w:rPr>
        <w:lastRenderedPageBreak/>
        <w:t>por ciento), lo cual contrarrestó con creces la caída en el impuesto general a las ventas (-10,1 por ciento). En el primer trimestre, los ingresos fiscales crecieron en 6,2 por ciento respecto de análogo período del año pasado</w:t>
      </w:r>
      <w:r w:rsidR="004A3245">
        <w:rPr>
          <w:sz w:val="22"/>
        </w:rPr>
        <w:t>.</w:t>
      </w:r>
    </w:p>
    <w:p w:rsidR="0036002A" w:rsidRDefault="0036002A" w:rsidP="00CA6848">
      <w:pPr>
        <w:pStyle w:val="Textoindependiente2"/>
        <w:tabs>
          <w:tab w:val="left" w:pos="2552"/>
        </w:tabs>
        <w:rPr>
          <w:sz w:val="22"/>
        </w:rPr>
      </w:pP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CA6848" w:rsidRDefault="00CA6848" w:rsidP="00CA6848">
      <w:pPr>
        <w:pStyle w:val="Textoindependiente2"/>
        <w:tabs>
          <w:tab w:val="left" w:pos="2552"/>
        </w:tabs>
        <w:rPr>
          <w:sz w:val="22"/>
        </w:rPr>
      </w:pPr>
    </w:p>
    <w:p w:rsidR="00C20FD7" w:rsidRDefault="00C20FD7" w:rsidP="00CA6848">
      <w:pPr>
        <w:pStyle w:val="Textoindependiente2"/>
        <w:tabs>
          <w:tab w:val="left" w:pos="2552"/>
        </w:tabs>
        <w:rPr>
          <w:sz w:val="22"/>
        </w:rPr>
      </w:pPr>
    </w:p>
    <w:p w:rsidR="00852557" w:rsidRDefault="00852557">
      <w:pPr>
        <w:pStyle w:val="Textoindependiente2"/>
        <w:tabs>
          <w:tab w:val="left" w:pos="2552"/>
        </w:tabs>
        <w:jc w:val="center"/>
        <w:rPr>
          <w:color w:val="FF0000"/>
          <w:sz w:val="22"/>
        </w:rPr>
        <w:sectPr w:rsidR="00852557" w:rsidSect="00217541">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E625C1"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rsidRPr="00B138AD">
        <w:rPr>
          <w:color w:val="FF0000"/>
          <w:sz w:val="22"/>
        </w:rPr>
        <w:object w:dxaOrig="10485" w:dyaOrig="6237">
          <v:shape id="_x0000_i1048" type="#_x0000_t75" style="width:434.25pt;height:263.25pt" o:ole="">
            <v:imagedata r:id="rId107" o:title=""/>
          </v:shape>
          <o:OLEObject Type="Embed" ProgID="Excel.Sheet.12" ShapeID="_x0000_i1048" DrawAspect="Content" ObjectID="_1399363702" r:id="rId108"/>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3B7B43">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130FC0" w:rsidRDefault="00130FC0" w:rsidP="00130FC0">
      <w:pPr>
        <w:pStyle w:val="Textoindependiente2"/>
        <w:rPr>
          <w:sz w:val="22"/>
          <w:szCs w:val="22"/>
        </w:rPr>
      </w:pPr>
      <w:r w:rsidRPr="00600001">
        <w:rPr>
          <w:sz w:val="22"/>
          <w:szCs w:val="22"/>
        </w:rPr>
        <w:lastRenderedPageBreak/>
        <w:t xml:space="preserve">En </w:t>
      </w:r>
      <w:r>
        <w:rPr>
          <w:sz w:val="22"/>
          <w:szCs w:val="22"/>
        </w:rPr>
        <w:t xml:space="preserve">marzo, los gastos del Gobierno Regional ascendieron a S/. 77,8 millones, mostrando un incremento real del 26,0 por ciento respecto de igual mes del año anterior. Este comportamiento obedeció a una sustancial expansión en los gastos de capital (163,6 por ciento). Estos se destinaron principalmente al proyecto hidroenergético </w:t>
      </w:r>
      <w:r>
        <w:rPr>
          <w:sz w:val="22"/>
          <w:szCs w:val="22"/>
        </w:rPr>
        <w:lastRenderedPageBreak/>
        <w:t xml:space="preserve">del Alto Piura </w:t>
      </w:r>
      <w:r w:rsidRPr="003D510B">
        <w:rPr>
          <w:sz w:val="22"/>
          <w:szCs w:val="22"/>
        </w:rPr>
        <w:t>(S/.</w:t>
      </w:r>
      <w:r>
        <w:rPr>
          <w:sz w:val="22"/>
          <w:szCs w:val="22"/>
        </w:rPr>
        <w:t>4,8</w:t>
      </w:r>
      <w:r w:rsidRPr="003D510B">
        <w:rPr>
          <w:sz w:val="22"/>
          <w:szCs w:val="22"/>
        </w:rPr>
        <w:t xml:space="preserve"> millones)</w:t>
      </w:r>
      <w:r>
        <w:rPr>
          <w:sz w:val="22"/>
          <w:szCs w:val="22"/>
        </w:rPr>
        <w:t>, a obras de saneamiento rural (S/.4,6 millones) y a infraestructura educativa (S/.2,2 millones).</w:t>
      </w:r>
    </w:p>
    <w:p w:rsidR="00130FC0" w:rsidRDefault="00130FC0" w:rsidP="00130FC0">
      <w:pPr>
        <w:pStyle w:val="Textoindependiente2"/>
        <w:rPr>
          <w:sz w:val="22"/>
          <w:szCs w:val="22"/>
        </w:rPr>
      </w:pPr>
    </w:p>
    <w:p w:rsidR="00130FC0" w:rsidRDefault="00130FC0" w:rsidP="00130FC0">
      <w:pPr>
        <w:pStyle w:val="Textoindependiente2"/>
        <w:rPr>
          <w:sz w:val="22"/>
          <w:szCs w:val="22"/>
        </w:rPr>
      </w:pPr>
      <w:r>
        <w:rPr>
          <w:sz w:val="22"/>
          <w:szCs w:val="22"/>
        </w:rPr>
        <w:t xml:space="preserve">De este modo, el gasto de la autoridad regional, en el primer trimestre del año, aumentó en 17,0 puntos porcentuales con relación a similar período del 2011. </w:t>
      </w:r>
    </w:p>
    <w:p w:rsidR="006F15C6" w:rsidRDefault="006F15C6" w:rsidP="00DD0B60">
      <w:pPr>
        <w:pStyle w:val="Textoindependiente2"/>
        <w:rPr>
          <w:sz w:val="22"/>
          <w:szCs w:val="22"/>
        </w:rPr>
        <w:sectPr w:rsidR="006F15C6" w:rsidSect="006F15C6">
          <w:type w:val="continuous"/>
          <w:pgSz w:w="11907" w:h="16840" w:code="9"/>
          <w:pgMar w:top="1418" w:right="1701" w:bottom="1418" w:left="1701" w:header="720" w:footer="720" w:gutter="0"/>
          <w:cols w:num="2" w:space="720"/>
        </w:sectPr>
      </w:pPr>
    </w:p>
    <w:p w:rsidR="00DD0B60" w:rsidRDefault="00DD0B60" w:rsidP="00DD0B60">
      <w:pPr>
        <w:pStyle w:val="Textoindependiente2"/>
        <w:rPr>
          <w:sz w:val="22"/>
          <w:szCs w:val="22"/>
        </w:rPr>
      </w:pPr>
    </w:p>
    <w:p w:rsidR="00DD0B60" w:rsidRDefault="00DD0B60" w:rsidP="00DD0B60">
      <w:pPr>
        <w:pStyle w:val="Textoindependiente2"/>
        <w:rPr>
          <w:sz w:val="22"/>
          <w:szCs w:val="22"/>
        </w:rPr>
      </w:pPr>
    </w:p>
    <w:p w:rsidR="00DD0B60" w:rsidRDefault="00DD0B60" w:rsidP="00DD0B60">
      <w:pPr>
        <w:pStyle w:val="Textoindependiente2"/>
        <w:rPr>
          <w:color w:val="FF0000"/>
          <w:sz w:val="22"/>
          <w:szCs w:val="22"/>
        </w:rPr>
      </w:pPr>
    </w:p>
    <w:p w:rsidR="000D5807" w:rsidRDefault="000D5807" w:rsidP="00DD0B60">
      <w:pPr>
        <w:pStyle w:val="Textoindependiente2"/>
        <w:rPr>
          <w:color w:val="FF0000"/>
          <w:sz w:val="22"/>
          <w:szCs w:val="22"/>
        </w:rPr>
      </w:pPr>
    </w:p>
    <w:p w:rsidR="00852557" w:rsidRDefault="00D85D41"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B138AD">
        <w:rPr>
          <w:color w:val="FF0000"/>
          <w:sz w:val="22"/>
          <w:szCs w:val="22"/>
        </w:rPr>
        <w:object w:dxaOrig="9095" w:dyaOrig="5162">
          <v:shape id="_x0000_i1049" type="#_x0000_t75" style="width:422.25pt;height:255.75pt" o:ole="">
            <v:imagedata r:id="rId109" o:title=""/>
          </v:shape>
          <o:OLEObject Type="Embed" ProgID="Excel.Sheet.12" ShapeID="_x0000_i1049" DrawAspect="Content" ObjectID="_1399363703" r:id="rId110"/>
        </w:object>
      </w:r>
    </w:p>
    <w:p w:rsidR="00BA090C" w:rsidRDefault="00BA090C">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9A7C2F" w:rsidRDefault="00130FC0" w:rsidP="004B5E5D">
      <w:pPr>
        <w:pStyle w:val="Textoindependiente2"/>
        <w:rPr>
          <w:sz w:val="22"/>
        </w:rPr>
        <w:sectPr w:rsidR="009A7C2F" w:rsidSect="009A7C2F">
          <w:type w:val="continuous"/>
          <w:pgSz w:w="11907" w:h="16840" w:code="9"/>
          <w:pgMar w:top="1418" w:right="1701" w:bottom="1418" w:left="1701" w:header="720" w:footer="720" w:gutter="0"/>
          <w:cols w:num="2" w:space="720"/>
        </w:sectPr>
      </w:pPr>
      <w:r>
        <w:rPr>
          <w:sz w:val="22"/>
        </w:rPr>
        <w:lastRenderedPageBreak/>
        <w:t xml:space="preserve">En el mes, el financiamiento del gasto se hizo principalmente con “Recursos Ordinarios”, los cuales representaron el 84,7 por ciento del total y se incrementaron en 19,8 por ciento respecto de similar período del año pasado. La segunda fuente </w:t>
      </w:r>
      <w:r>
        <w:rPr>
          <w:sz w:val="22"/>
        </w:rPr>
        <w:lastRenderedPageBreak/>
        <w:t>de ingresos fue la de “Recursos Determinados”, que registró una importante expansión del 87,1 por ciento en virtud, sobre todo, a lo captado por concepto de canon petrolero (S/.6,8 millones).</w:t>
      </w:r>
    </w:p>
    <w:p w:rsidR="004B5E5D" w:rsidRDefault="004B5E5D"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E625C1" w:rsidP="00DD0B60">
      <w:pPr>
        <w:pStyle w:val="Textoindependiente2"/>
        <w:rPr>
          <w:sz w:val="22"/>
        </w:rPr>
      </w:pPr>
      <w:r w:rsidRPr="00B138AD">
        <w:rPr>
          <w:sz w:val="22"/>
        </w:rPr>
        <w:object w:dxaOrig="9205" w:dyaOrig="3666">
          <v:shape id="_x0000_i1050" type="#_x0000_t75" style="width:426.75pt;height:183pt" o:ole="">
            <v:imagedata r:id="rId111" o:title=""/>
          </v:shape>
          <o:OLEObject Type="Embed" ProgID="Excel.Sheet.12" ShapeID="_x0000_i1050" DrawAspect="Content" ObjectID="_1399363704" r:id="rId112"/>
        </w:object>
      </w:r>
    </w:p>
    <w:p w:rsidR="004A3245" w:rsidRDefault="004A3245" w:rsidP="00DD0B60">
      <w:pPr>
        <w:pStyle w:val="Textoindependiente2"/>
        <w:rPr>
          <w:sz w:val="22"/>
        </w:rPr>
      </w:pPr>
    </w:p>
    <w:p w:rsidR="000D5807" w:rsidRDefault="000D5807" w:rsidP="000D5807">
      <w:pPr>
        <w:rPr>
          <w:sz w:val="22"/>
          <w:szCs w:val="22"/>
          <w:lang w:val="es-MX"/>
        </w:rPr>
        <w:sectPr w:rsidR="000D5807" w:rsidSect="00594DAB">
          <w:headerReference w:type="even" r:id="rId113"/>
          <w:headerReference w:type="default" r:id="rId114"/>
          <w:footerReference w:type="default" r:id="rId115"/>
          <w:type w:val="continuous"/>
          <w:pgSz w:w="11907" w:h="16840" w:code="9"/>
          <w:pgMar w:top="993" w:right="1701" w:bottom="709" w:left="1701" w:header="720" w:footer="720" w:gutter="0"/>
          <w:cols w:space="709"/>
        </w:sectPr>
      </w:pPr>
    </w:p>
    <w:p w:rsidR="000D5807" w:rsidRDefault="00130FC0" w:rsidP="000D5807">
      <w:pPr>
        <w:rPr>
          <w:sz w:val="22"/>
          <w:szCs w:val="22"/>
          <w:lang w:val="es-MX"/>
        </w:rPr>
      </w:pPr>
      <w:r>
        <w:rPr>
          <w:sz w:val="22"/>
          <w:szCs w:val="22"/>
          <w:lang w:val="es-MX"/>
        </w:rPr>
        <w:lastRenderedPageBreak/>
        <w:t>El Presupuesto Institucional Modificado (PIM), a marzo, bordeó los S/. 1 105,6  millones y registró una ejecución del 20,4</w:t>
      </w:r>
      <w:r w:rsidRPr="004B3026">
        <w:rPr>
          <w:sz w:val="22"/>
          <w:szCs w:val="22"/>
          <w:lang w:val="es-MX"/>
        </w:rPr>
        <w:t xml:space="preserve"> </w:t>
      </w:r>
      <w:r w:rsidRPr="004B3026">
        <w:rPr>
          <w:sz w:val="22"/>
          <w:szCs w:val="22"/>
          <w:lang w:val="es-MX"/>
        </w:rPr>
        <w:lastRenderedPageBreak/>
        <w:t>por ciento</w:t>
      </w:r>
      <w:r>
        <w:rPr>
          <w:sz w:val="22"/>
          <w:szCs w:val="22"/>
          <w:lang w:val="es-MX"/>
        </w:rPr>
        <w:t xml:space="preserve">, con un </w:t>
      </w:r>
      <w:r w:rsidRPr="004B3026">
        <w:rPr>
          <w:sz w:val="22"/>
          <w:szCs w:val="22"/>
          <w:lang w:val="es-MX"/>
        </w:rPr>
        <w:t xml:space="preserve">avance de </w:t>
      </w:r>
      <w:r>
        <w:rPr>
          <w:sz w:val="22"/>
          <w:szCs w:val="22"/>
          <w:lang w:val="es-MX"/>
        </w:rPr>
        <w:t xml:space="preserve">22,2 </w:t>
      </w:r>
      <w:r w:rsidRPr="004B3026">
        <w:rPr>
          <w:sz w:val="22"/>
          <w:szCs w:val="22"/>
          <w:lang w:val="es-MX"/>
        </w:rPr>
        <w:t xml:space="preserve">por ciento en gastos corrientes y de </w:t>
      </w:r>
      <w:r>
        <w:rPr>
          <w:sz w:val="22"/>
          <w:szCs w:val="22"/>
          <w:lang w:val="es-MX"/>
        </w:rPr>
        <w:t>15,3</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r w:rsidR="004A3245">
        <w:rPr>
          <w:sz w:val="22"/>
          <w:szCs w:val="22"/>
          <w:lang w:val="es-MX"/>
        </w:rPr>
        <w:t>.</w:t>
      </w:r>
    </w:p>
    <w:p w:rsidR="000D5807" w:rsidRDefault="000D5807" w:rsidP="000D5807">
      <w:pPr>
        <w:rPr>
          <w:sz w:val="22"/>
          <w:szCs w:val="22"/>
          <w:lang w:val="es-MX"/>
        </w:rPr>
        <w:sectPr w:rsidR="000D5807" w:rsidSect="000D5807">
          <w:type w:val="continuous"/>
          <w:pgSz w:w="11907" w:h="16840" w:code="9"/>
          <w:pgMar w:top="993" w:right="1701" w:bottom="709" w:left="1701" w:header="720" w:footer="720" w:gutter="0"/>
          <w:cols w:num="2" w:space="709"/>
        </w:sectPr>
      </w:pPr>
    </w:p>
    <w:p w:rsidR="005266B2" w:rsidRDefault="005266B2">
      <w:pPr>
        <w:rPr>
          <w:sz w:val="22"/>
          <w:szCs w:val="22"/>
          <w:lang w:val="es-MX"/>
        </w:rPr>
      </w:pPr>
    </w:p>
    <w:p w:rsidR="0097000A" w:rsidRDefault="0097000A">
      <w:pPr>
        <w:rPr>
          <w:sz w:val="22"/>
          <w:szCs w:val="22"/>
          <w:lang w:val="es-MX"/>
        </w:rPr>
      </w:pPr>
    </w:p>
    <w:p w:rsidR="0097000A" w:rsidRDefault="0097000A">
      <w:pPr>
        <w:rPr>
          <w:sz w:val="22"/>
          <w:szCs w:val="22"/>
          <w:lang w:val="es-MX"/>
        </w:rPr>
      </w:pPr>
    </w:p>
    <w:p w:rsidR="004A3245" w:rsidRDefault="004A3245">
      <w:pPr>
        <w:rPr>
          <w:sz w:val="22"/>
          <w:szCs w:val="22"/>
          <w:lang w:val="es-MX"/>
        </w:rPr>
      </w:pPr>
    </w:p>
    <w:p w:rsidR="0097000A" w:rsidRDefault="0097000A">
      <w:pPr>
        <w:rPr>
          <w:sz w:val="22"/>
          <w:szCs w:val="22"/>
          <w:lang w:val="es-MX"/>
        </w:rPr>
      </w:pPr>
    </w:p>
    <w:p w:rsidR="009A7C2F" w:rsidRDefault="009A7C2F">
      <w:pPr>
        <w:rPr>
          <w:sz w:val="22"/>
          <w:szCs w:val="22"/>
          <w:lang w:val="es-MX"/>
        </w:rPr>
      </w:pPr>
    </w:p>
    <w:p w:rsidR="00852557" w:rsidRDefault="00852557">
      <w:pPr>
        <w:rPr>
          <w:b/>
          <w:bCs/>
          <w:sz w:val="22"/>
        </w:rPr>
      </w:pPr>
      <w:r w:rsidRPr="003B7B43">
        <w:rPr>
          <w:b/>
          <w:bCs/>
        </w:rPr>
        <w:t>4</w:t>
      </w:r>
      <w:r w:rsidRPr="003B7B43">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130FC0" w:rsidRDefault="00130FC0" w:rsidP="00130FC0">
      <w:pPr>
        <w:rPr>
          <w:bCs/>
          <w:sz w:val="22"/>
          <w:szCs w:val="22"/>
        </w:rPr>
      </w:pPr>
      <w:r>
        <w:rPr>
          <w:bCs/>
          <w:sz w:val="22"/>
          <w:szCs w:val="22"/>
        </w:rPr>
        <w:lastRenderedPageBreak/>
        <w:t xml:space="preserve">En el mes bajo análisis, el gasto del gobierno local fue de S/. 23,3 millones, mostrando un incremento real del 6,0 por ciento respecto de marzo del 2011.  Esto respondió básicamente a una mayor ejecución de gastos de capital (8,2 por ciento), los cuales se asignaron, en especial,  a obras de saneamiento (S/.4,9 millones), </w:t>
      </w:r>
      <w:r>
        <w:rPr>
          <w:bCs/>
          <w:sz w:val="22"/>
          <w:szCs w:val="22"/>
        </w:rPr>
        <w:lastRenderedPageBreak/>
        <w:t>infraestructura vial (S/.2,2 millones) e infraestructura agrícola (S/.1,3 millones).</w:t>
      </w:r>
    </w:p>
    <w:p w:rsidR="00130FC0" w:rsidRDefault="00130FC0" w:rsidP="00130FC0">
      <w:pPr>
        <w:rPr>
          <w:bCs/>
          <w:sz w:val="22"/>
          <w:szCs w:val="22"/>
        </w:rPr>
      </w:pPr>
    </w:p>
    <w:p w:rsidR="004A3245" w:rsidRDefault="00130FC0" w:rsidP="00130FC0">
      <w:pPr>
        <w:rPr>
          <w:bCs/>
          <w:sz w:val="22"/>
          <w:szCs w:val="22"/>
        </w:rPr>
      </w:pPr>
      <w:r>
        <w:rPr>
          <w:bCs/>
          <w:sz w:val="22"/>
          <w:szCs w:val="22"/>
        </w:rPr>
        <w:t>En el primer trimestre, el gasto de la autoridad local creció en 39,2 por ciento con relación a similar período del año pasado.</w:t>
      </w:r>
    </w:p>
    <w:p w:rsidR="00130FC0" w:rsidRDefault="00130FC0" w:rsidP="00130FC0">
      <w:pPr>
        <w:rPr>
          <w:bCs/>
          <w:sz w:val="22"/>
          <w:szCs w:val="22"/>
        </w:rPr>
      </w:pPr>
    </w:p>
    <w:p w:rsidR="0097000A" w:rsidRDefault="0097000A" w:rsidP="00DE2FC9">
      <w:pPr>
        <w:rPr>
          <w:bCs/>
          <w:sz w:val="22"/>
          <w:szCs w:val="22"/>
        </w:rPr>
      </w:pPr>
    </w:p>
    <w:p w:rsidR="0097000A" w:rsidRDefault="0097000A" w:rsidP="00DE2FC9">
      <w:pPr>
        <w:rPr>
          <w:bCs/>
          <w:sz w:val="22"/>
          <w:szCs w:val="22"/>
        </w:rPr>
        <w:sectPr w:rsidR="0097000A" w:rsidSect="0097000A">
          <w:type w:val="continuous"/>
          <w:pgSz w:w="11907" w:h="16840" w:code="9"/>
          <w:pgMar w:top="1418" w:right="1701" w:bottom="1418" w:left="1701" w:header="720" w:footer="720" w:gutter="0"/>
          <w:cols w:num="2" w:space="709"/>
        </w:sectPr>
      </w:pPr>
    </w:p>
    <w:p w:rsidR="00130FC0" w:rsidRDefault="00D85D41" w:rsidP="00DE2FC9">
      <w:pPr>
        <w:rPr>
          <w:bCs/>
          <w:sz w:val="22"/>
          <w:szCs w:val="22"/>
        </w:rPr>
        <w:sectPr w:rsidR="00130FC0" w:rsidSect="00130FC0">
          <w:type w:val="continuous"/>
          <w:pgSz w:w="11907" w:h="16840" w:code="9"/>
          <w:pgMar w:top="1418" w:right="1701" w:bottom="1418" w:left="1701" w:header="720" w:footer="720" w:gutter="0"/>
          <w:cols w:space="709"/>
        </w:sectPr>
      </w:pPr>
      <w:r w:rsidRPr="00B138AD">
        <w:rPr>
          <w:bCs/>
          <w:sz w:val="22"/>
          <w:szCs w:val="22"/>
        </w:rPr>
        <w:object w:dxaOrig="8591" w:dyaOrig="4672">
          <v:shape id="_x0000_i1051" type="#_x0000_t75" style="width:421.5pt;height:212.25pt" o:ole="">
            <v:imagedata r:id="rId116" o:title=""/>
          </v:shape>
          <o:OLEObject Type="Embed" ProgID="Excel.Sheet.12" ShapeID="_x0000_i1051" DrawAspect="Content" ObjectID="_1399363705" r:id="rId117"/>
        </w:object>
      </w:r>
    </w:p>
    <w:p w:rsidR="00580B57" w:rsidRDefault="00130FC0" w:rsidP="008D30F3">
      <w:pPr>
        <w:rPr>
          <w:sz w:val="22"/>
          <w:szCs w:val="22"/>
          <w:lang w:val="es-MX"/>
        </w:rPr>
      </w:pPr>
      <w:r>
        <w:rPr>
          <w:sz w:val="22"/>
          <w:szCs w:val="22"/>
          <w:lang w:val="es-MX"/>
        </w:rPr>
        <w:lastRenderedPageBreak/>
        <w:t xml:space="preserve">El financiamiento del gasto municipal mensual se hizo principalmente con “Recursos Determinados”, los cuales dieron cuenta del 69,1 por ciento del total y se incrementaron en 26,8 por ciento respecto </w:t>
      </w:r>
      <w:r>
        <w:rPr>
          <w:sz w:val="22"/>
          <w:szCs w:val="22"/>
          <w:lang w:val="es-MX"/>
        </w:rPr>
        <w:lastRenderedPageBreak/>
        <w:t>de marzo del año anterior. No obstante, la mayor expansión mensual se observó en el caso de los “Recursos Ordinarios” (673,8 por ciento).</w:t>
      </w:r>
    </w:p>
    <w:p w:rsidR="00130FC0" w:rsidRDefault="00130FC0" w:rsidP="008D30F3">
      <w:pPr>
        <w:rPr>
          <w:sz w:val="22"/>
          <w:szCs w:val="22"/>
          <w:lang w:val="es-MX"/>
        </w:rPr>
        <w:sectPr w:rsidR="00130FC0" w:rsidSect="00A105B2">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D85D41">
      <w:pPr>
        <w:rPr>
          <w:sz w:val="22"/>
          <w:szCs w:val="22"/>
          <w:lang w:val="es-MX"/>
        </w:rPr>
        <w:sectPr w:rsidR="00130FC0" w:rsidSect="00130FC0">
          <w:type w:val="continuous"/>
          <w:pgSz w:w="11907" w:h="16840" w:code="9"/>
          <w:pgMar w:top="1418" w:right="1701" w:bottom="1418" w:left="1701" w:header="720" w:footer="720" w:gutter="0"/>
          <w:cols w:space="709"/>
        </w:sectPr>
      </w:pPr>
      <w:r w:rsidRPr="00B138AD">
        <w:rPr>
          <w:sz w:val="22"/>
          <w:szCs w:val="22"/>
          <w:lang w:val="es-MX"/>
        </w:rPr>
        <w:object w:dxaOrig="8749" w:dyaOrig="3436">
          <v:shape id="_x0000_i1052" type="#_x0000_t75" style="width:431.25pt;height:169.5pt" o:ole="">
            <v:imagedata r:id="rId118" o:title=""/>
          </v:shape>
          <o:OLEObject Type="Embed" ProgID="Excel.Sheet.12" ShapeID="_x0000_i1052" DrawAspect="Content" ObjectID="_1399363706" r:id="rId119"/>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0D5807" w:rsidRDefault="00130FC0" w:rsidP="00DD0B60">
      <w:pPr>
        <w:pStyle w:val="SBS"/>
        <w:rPr>
          <w:rFonts w:ascii="Times New Roman" w:hAnsi="Times New Roman"/>
        </w:rPr>
        <w:sectPr w:rsidR="000D5807" w:rsidSect="000D5807">
          <w:headerReference w:type="default" r:id="rId120"/>
          <w:footerReference w:type="default" r:id="rId121"/>
          <w:type w:val="continuous"/>
          <w:pgSz w:w="11907" w:h="16840" w:code="9"/>
          <w:pgMar w:top="993" w:right="1701" w:bottom="709" w:left="1701" w:header="720" w:footer="720" w:gutter="0"/>
          <w:cols w:num="2" w:space="720"/>
        </w:sectPr>
      </w:pPr>
      <w:r>
        <w:rPr>
          <w:rFonts w:ascii="Times New Roman" w:hAnsi="Times New Roman"/>
        </w:rPr>
        <w:lastRenderedPageBreak/>
        <w:t>Al término de marzo,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 xml:space="preserve">bordeó </w:t>
      </w:r>
      <w:r w:rsidRPr="00C02242">
        <w:rPr>
          <w:rFonts w:ascii="Times New Roman" w:hAnsi="Times New Roman"/>
        </w:rPr>
        <w:t>los S/.</w:t>
      </w:r>
      <w:r>
        <w:rPr>
          <w:rFonts w:ascii="Times New Roman" w:hAnsi="Times New Roman"/>
        </w:rPr>
        <w:t>303,0</w:t>
      </w:r>
      <w:r w:rsidRPr="00C02242">
        <w:rPr>
          <w:rFonts w:ascii="Times New Roman" w:hAnsi="Times New Roman"/>
        </w:rPr>
        <w:t xml:space="preserve"> millones</w:t>
      </w:r>
      <w:r>
        <w:rPr>
          <w:rFonts w:ascii="Times New Roman" w:hAnsi="Times New Roman"/>
        </w:rPr>
        <w:t xml:space="preserve">, mostrando </w:t>
      </w:r>
      <w:r w:rsidRPr="00C02242">
        <w:rPr>
          <w:rFonts w:ascii="Times New Roman" w:hAnsi="Times New Roman"/>
        </w:rPr>
        <w:t xml:space="preserve">una ejecución </w:t>
      </w:r>
      <w:r w:rsidRPr="00C02242">
        <w:rPr>
          <w:rFonts w:ascii="Times New Roman" w:hAnsi="Times New Roman"/>
        </w:rPr>
        <w:lastRenderedPageBreak/>
        <w:t>de</w:t>
      </w:r>
      <w:r>
        <w:rPr>
          <w:rFonts w:ascii="Times New Roman" w:hAnsi="Times New Roman"/>
        </w:rPr>
        <w:t>l</w:t>
      </w:r>
      <w:r w:rsidRPr="00C02242">
        <w:rPr>
          <w:rFonts w:ascii="Times New Roman" w:hAnsi="Times New Roman"/>
        </w:rPr>
        <w:t xml:space="preserve"> </w:t>
      </w:r>
      <w:r>
        <w:rPr>
          <w:rFonts w:ascii="Times New Roman" w:hAnsi="Times New Roman"/>
        </w:rPr>
        <w:t>18,2</w:t>
      </w:r>
      <w:r w:rsidRPr="00C02242">
        <w:rPr>
          <w:rFonts w:ascii="Times New Roman" w:hAnsi="Times New Roman"/>
        </w:rPr>
        <w:t xml:space="preserve"> 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21,5 </w:t>
      </w:r>
      <w:r w:rsidRPr="00C02242">
        <w:rPr>
          <w:rFonts w:ascii="Times New Roman" w:hAnsi="Times New Roman"/>
        </w:rPr>
        <w:t xml:space="preserve">por ciento en gastos corrientes y del </w:t>
      </w:r>
      <w:r>
        <w:rPr>
          <w:rFonts w:ascii="Times New Roman" w:hAnsi="Times New Roman"/>
        </w:rPr>
        <w:t xml:space="preserve">14,7 </w:t>
      </w:r>
      <w:r w:rsidRPr="00C02242">
        <w:rPr>
          <w:rFonts w:ascii="Times New Roman" w:hAnsi="Times New Roman"/>
        </w:rPr>
        <w:t>por ciento en gastos de capital</w:t>
      </w:r>
      <w:r>
        <w:rPr>
          <w:rFonts w:ascii="Times New Roman" w:hAnsi="Times New Roman"/>
        </w:rPr>
        <w:t>.</w:t>
      </w:r>
      <w:r w:rsidR="003D5A43">
        <w:rPr>
          <w:rFonts w:ascii="Times New Roman" w:hAnsi="Times New Roman"/>
        </w:rPr>
        <w:t>.</w:t>
      </w:r>
    </w:p>
    <w:p w:rsidR="00DD0B60" w:rsidRDefault="00DD0B60" w:rsidP="00DD0B60">
      <w:pPr>
        <w:pStyle w:val="SBS"/>
        <w:rPr>
          <w:rFonts w:ascii="Times New Roman" w:hAnsi="Times New Roman"/>
        </w:rPr>
      </w:pPr>
    </w:p>
    <w:p w:rsidR="00DD0B60" w:rsidRDefault="00DD0B60" w:rsidP="00C20FD7">
      <w:pPr>
        <w:pStyle w:val="SBS"/>
        <w:rPr>
          <w:rFonts w:ascii="Times New Roman" w:hAnsi="Times New Roman"/>
        </w:rPr>
      </w:pPr>
    </w:p>
    <w:p w:rsidR="00DD0B60" w:rsidRDefault="00DD0B60" w:rsidP="00C20FD7">
      <w:pPr>
        <w:pStyle w:val="SBS"/>
        <w:rPr>
          <w:rFonts w:ascii="Times New Roman" w:hAnsi="Times New Roman"/>
        </w:rPr>
        <w:sectPr w:rsidR="00DD0B60" w:rsidSect="00CD44C9">
          <w:type w:val="continuous"/>
          <w:pgSz w:w="11907" w:h="16840" w:code="9"/>
          <w:pgMar w:top="993" w:right="1701" w:bottom="709" w:left="1701" w:header="720" w:footer="720" w:gutter="0"/>
          <w:cols w:num="2" w:space="720"/>
        </w:sectPr>
      </w:pPr>
    </w:p>
    <w:p w:rsidR="000D5807" w:rsidRDefault="008D30F3" w:rsidP="0097000A">
      <w:pPr>
        <w:pStyle w:val="SBS"/>
        <w:rPr>
          <w:rFonts w:ascii="Times New Roman" w:hAnsi="Times New Roman"/>
        </w:rPr>
      </w:pPr>
      <w:r>
        <w:rPr>
          <w:rFonts w:ascii="Times New Roman" w:hAnsi="Times New Roman"/>
        </w:rPr>
        <w:lastRenderedPageBreak/>
        <w:t xml:space="preserve"> </w:t>
      </w:r>
    </w:p>
    <w:p w:rsidR="00D85D41" w:rsidRDefault="00D85D41" w:rsidP="0097000A">
      <w:pPr>
        <w:pStyle w:val="SBS"/>
        <w:rPr>
          <w:rFonts w:ascii="Times New Roman" w:hAnsi="Times New Roman"/>
        </w:rPr>
      </w:pPr>
    </w:p>
    <w:p w:rsidR="00D85D41" w:rsidRDefault="00D85D41" w:rsidP="0097000A">
      <w:pPr>
        <w:pStyle w:val="SBS"/>
        <w:rPr>
          <w:rFonts w:ascii="Times New Roman" w:hAnsi="Times New Roman"/>
        </w:rPr>
      </w:pPr>
    </w:p>
    <w:p w:rsidR="00D85D41" w:rsidRDefault="00D85D41" w:rsidP="0097000A">
      <w:pPr>
        <w:pStyle w:val="SBS"/>
        <w:rPr>
          <w:rFonts w:ascii="Times New Roman" w:hAnsi="Times New Roman"/>
        </w:rPr>
      </w:pPr>
    </w:p>
    <w:p w:rsidR="00D85D41" w:rsidRDefault="00D85D41" w:rsidP="0097000A">
      <w:pPr>
        <w:pStyle w:val="SBS"/>
        <w:rPr>
          <w:rFonts w:ascii="Times New Roman" w:hAnsi="Times New Roman"/>
        </w:rPr>
      </w:pPr>
    </w:p>
    <w:p w:rsidR="00EC3F50" w:rsidRDefault="00EC3F50" w:rsidP="0097000A">
      <w:pPr>
        <w:pStyle w:val="SBS"/>
        <w:rPr>
          <w:rFonts w:ascii="Times New Roman" w:hAnsi="Times New Roman"/>
        </w:rPr>
      </w:pPr>
    </w:p>
    <w:p w:rsidR="009A7C2F" w:rsidRDefault="009A7C2F" w:rsidP="0097000A">
      <w:pPr>
        <w:pStyle w:val="SBS"/>
        <w:rPr>
          <w:rFonts w:ascii="Times New Roman" w:hAnsi="Times New Roman"/>
        </w:rPr>
      </w:pPr>
    </w:p>
    <w:p w:rsidR="009A7C2F" w:rsidRDefault="009A7C2F" w:rsidP="0097000A">
      <w:pPr>
        <w:pStyle w:val="SBS"/>
        <w:rPr>
          <w:color w:val="FF0000"/>
          <w:highlight w:val="yellow"/>
        </w:rPr>
        <w:sectPr w:rsidR="009A7C2F">
          <w:headerReference w:type="even" r:id="rId122"/>
          <w:headerReference w:type="default" r:id="rId123"/>
          <w:footerReference w:type="default" r:id="rId124"/>
          <w:type w:val="continuous"/>
          <w:pgSz w:w="11907" w:h="16840" w:code="9"/>
          <w:pgMar w:top="1418" w:right="1701" w:bottom="1418" w:left="1701" w:header="720" w:footer="720" w:gutter="0"/>
          <w:cols w:num="2" w:space="720"/>
        </w:sectPr>
      </w:pPr>
    </w:p>
    <w:p w:rsidR="00852557" w:rsidRPr="003A0FCF" w:rsidRDefault="00852557" w:rsidP="0008391D">
      <w:pPr>
        <w:pStyle w:val="Ttulo4"/>
        <w:keepNext w:val="0"/>
        <w:numPr>
          <w:ilvl w:val="0"/>
          <w:numId w:val="2"/>
        </w:numPr>
        <w:tabs>
          <w:tab w:val="clear" w:pos="-1099"/>
        </w:tabs>
        <w:jc w:val="left"/>
      </w:pPr>
      <w:r w:rsidRPr="003A0FCF">
        <w:lastRenderedPageBreak/>
        <w:t>MONEDA Y CRÉDITO</w:t>
      </w:r>
    </w:p>
    <w:p w:rsidR="00852557" w:rsidRPr="003B7B43" w:rsidRDefault="00852557" w:rsidP="00253F18">
      <w:pPr>
        <w:pStyle w:val="Encabezado"/>
      </w:pPr>
    </w:p>
    <w:p w:rsidR="00852557" w:rsidRPr="0008391D" w:rsidRDefault="00852557" w:rsidP="0008391D">
      <w:pPr>
        <w:rPr>
          <w:b/>
        </w:rPr>
      </w:pPr>
      <w:r w:rsidRPr="0008391D">
        <w:rPr>
          <w:b/>
        </w:rPr>
        <w:t>5.1.</w:t>
      </w:r>
      <w:r w:rsidRPr="0008391D">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25"/>
          <w:headerReference w:type="default" r:id="rId126"/>
          <w:footerReference w:type="even" r:id="rId127"/>
          <w:footerReference w:type="default" r:id="rId128"/>
          <w:headerReference w:type="first" r:id="rId129"/>
          <w:footerReference w:type="first" r:id="rId130"/>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7D32DE" w:rsidRDefault="007D32DE" w:rsidP="007D32DE">
      <w:pPr>
        <w:pStyle w:val="SBS"/>
        <w:rPr>
          <w:rFonts w:ascii="Times New Roman" w:hAnsi="Times New Roman"/>
        </w:rPr>
      </w:pPr>
      <w:r>
        <w:rPr>
          <w:rFonts w:ascii="Times New Roman" w:hAnsi="Times New Roman"/>
        </w:rPr>
        <w:lastRenderedPageBreak/>
        <w:t xml:space="preserve">En marzo, el saldo de depósitos del sistema financiero se ubicó en S/.2 144,8 millones, lo que implicó una expansión del 3,0 por ciento respecto de análogo mes del año anterior. Esto obedeció al incremento en las captaciones de las empresas bancarias (4,2 por ciento) e instituciones de microfinanzas (1,7 por ciento). </w:t>
      </w:r>
    </w:p>
    <w:p w:rsidR="007D32DE" w:rsidRDefault="007D32DE" w:rsidP="007D32DE">
      <w:pPr>
        <w:pStyle w:val="SBS"/>
        <w:rPr>
          <w:rFonts w:ascii="Times New Roman" w:hAnsi="Times New Roman"/>
        </w:rPr>
        <w:sectPr w:rsidR="007D32DE" w:rsidSect="007D32DE">
          <w:type w:val="continuous"/>
          <w:pgSz w:w="11907" w:h="16840" w:code="9"/>
          <w:pgMar w:top="1531" w:right="1701" w:bottom="1531" w:left="1701" w:header="709" w:footer="709" w:gutter="0"/>
          <w:cols w:num="2" w:space="720"/>
          <w:docGrid w:linePitch="360"/>
        </w:sectPr>
      </w:pPr>
      <w:r>
        <w:rPr>
          <w:rFonts w:ascii="Times New Roman" w:hAnsi="Times New Roman"/>
        </w:rPr>
        <w:lastRenderedPageBreak/>
        <w:t xml:space="preserve">El saldo de depósitos en moneda nacional representó el 70,9 por ciento del total captado por el sistema financiero y registró un incremento interanual del 9,2 por ciento, mientras que las captaciones en moneda extranjera se contrajeron en 9,4 puntos porcentuales. </w:t>
      </w:r>
    </w:p>
    <w:p w:rsidR="003E2F1B" w:rsidRDefault="003E2F1B" w:rsidP="003E2F1B">
      <w:pPr>
        <w:pStyle w:val="SBS"/>
        <w:rPr>
          <w:rFonts w:ascii="Times New Roman" w:hAnsi="Times New Roman"/>
        </w:rPr>
      </w:pPr>
      <w:r>
        <w:rPr>
          <w:rFonts w:ascii="Times New Roman" w:hAnsi="Times New Roman"/>
        </w:rPr>
        <w:lastRenderedPageBreak/>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lastRenderedPageBreak/>
        <w:t xml:space="preserve"> </w:t>
      </w:r>
    </w:p>
    <w:p w:rsidR="00852557" w:rsidRDefault="00E625C1">
      <w:pPr>
        <w:pStyle w:val="Textoindependiente"/>
        <w:jc w:val="center"/>
        <w:rPr>
          <w:rFonts w:ascii="Times New Roman" w:hAnsi="Times New Roman"/>
          <w:color w:val="FF0000"/>
          <w:sz w:val="22"/>
          <w:lang w:val="es-ES_tradnl"/>
        </w:rPr>
        <w:sectPr w:rsidR="00852557">
          <w:headerReference w:type="default" r:id="rId131"/>
          <w:footerReference w:type="default" r:id="rId132"/>
          <w:type w:val="continuous"/>
          <w:pgSz w:w="11907" w:h="16840" w:code="9"/>
          <w:pgMar w:top="1531" w:right="1701" w:bottom="1531" w:left="1701" w:header="709" w:footer="709" w:gutter="0"/>
          <w:cols w:space="720"/>
          <w:docGrid w:linePitch="360"/>
        </w:sectPr>
      </w:pPr>
      <w:r w:rsidRPr="00B138AD">
        <w:rPr>
          <w:rFonts w:ascii="Times New Roman" w:hAnsi="Times New Roman"/>
          <w:color w:val="FF0000"/>
          <w:sz w:val="22"/>
          <w:lang w:val="es-ES_tradnl"/>
        </w:rPr>
        <w:object w:dxaOrig="5670" w:dyaOrig="4155">
          <v:shape id="_x0000_i1053" type="#_x0000_t75" style="width:283.5pt;height:207.75pt" o:ole="">
            <v:imagedata r:id="rId133" o:title=""/>
          </v:shape>
          <o:OLEObject Type="Embed" ProgID="Excel.Sheet.12" ShapeID="_x0000_i1053" DrawAspect="Content" ObjectID="_1399363707" r:id="rId134"/>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2107AE" w:rsidRDefault="00130FC0" w:rsidP="002107AE">
      <w:pPr>
        <w:pStyle w:val="Textoindependiente"/>
        <w:rPr>
          <w:rFonts w:ascii="Times New Roman" w:hAnsi="Times New Roman"/>
          <w:sz w:val="22"/>
        </w:rPr>
      </w:pPr>
      <w:r>
        <w:rPr>
          <w:rFonts w:ascii="Times New Roman" w:hAnsi="Times New Roman"/>
          <w:sz w:val="22"/>
        </w:rPr>
        <w:lastRenderedPageBreak/>
        <w:t xml:space="preserve">Los depósitos a plazo representaron el 47,9 por ciento del total de captaciones del sistema financiero; sin embargo, </w:t>
      </w:r>
      <w:r>
        <w:rPr>
          <w:rFonts w:ascii="Times New Roman" w:hAnsi="Times New Roman"/>
          <w:sz w:val="22"/>
        </w:rPr>
        <w:lastRenderedPageBreak/>
        <w:t>decrecieron en 2,0 por ciento interanual. En contraste, los ahorros corrientes se expandieron en 9,3 por ciento</w:t>
      </w:r>
      <w:r w:rsidR="002107AE" w:rsidRPr="00EC6528">
        <w:rPr>
          <w:rFonts w:ascii="Times New Roman" w:hAnsi="Times New Roman"/>
          <w:sz w:val="22"/>
        </w:rPr>
        <w:t>.</w:t>
      </w:r>
    </w:p>
    <w:p w:rsidR="00C20FD7" w:rsidRDefault="00C20FD7" w:rsidP="00C20FD7">
      <w:pPr>
        <w:pStyle w:val="Textoindependiente"/>
        <w:rPr>
          <w:rFonts w:ascii="Times New Roman" w:hAnsi="Times New Roman"/>
          <w:sz w:val="22"/>
        </w:rPr>
        <w:sectPr w:rsidR="00C20FD7" w:rsidSect="00DD1094">
          <w:type w:val="continuous"/>
          <w:pgSz w:w="11907" w:h="16840" w:code="9"/>
          <w:pgMar w:top="1531" w:right="1701" w:bottom="1531" w:left="1701" w:header="709" w:footer="709" w:gutter="0"/>
          <w:cols w:num="2" w:space="720"/>
          <w:docGrid w:linePitch="360"/>
        </w:sect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E625C1">
      <w:pPr>
        <w:pStyle w:val="Textoindependiente"/>
        <w:jc w:val="center"/>
        <w:outlineLvl w:val="0"/>
        <w:rPr>
          <w:rFonts w:ascii="Times New Roman" w:hAnsi="Times New Roman"/>
          <w:color w:val="FF0000"/>
          <w:sz w:val="22"/>
        </w:rPr>
      </w:pPr>
      <w:r>
        <w:object w:dxaOrig="5670" w:dyaOrig="3150">
          <v:shape id="_x0000_i1054" type="#_x0000_t75" style="width:283.5pt;height:157.5pt" o:ole="">
            <v:imagedata r:id="rId135" o:title=""/>
          </v:shape>
          <o:OLEObject Type="Embed" ProgID="Excel.Sheet.12" ShapeID="_x0000_i1054" DrawAspect="Content" ObjectID="_1399363708" r:id="rId136"/>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EC6528" w:rsidRDefault="00130FC0" w:rsidP="00EC6528">
      <w:pPr>
        <w:pStyle w:val="Textoindependiente"/>
        <w:outlineLvl w:val="0"/>
        <w:rPr>
          <w:rFonts w:ascii="Times New Roman" w:hAnsi="Times New Roman"/>
          <w:sz w:val="22"/>
        </w:rPr>
      </w:pPr>
      <w:r>
        <w:rPr>
          <w:rFonts w:ascii="Times New Roman" w:hAnsi="Times New Roman"/>
          <w:sz w:val="22"/>
        </w:rPr>
        <w:lastRenderedPageBreak/>
        <w:t xml:space="preserve">La Caja Piura es la entidad que registró una mayor    participación  en  el  saldo total  de depósitos, con una significación del 23,8 por ciento, seguida del Banco de Crédito </w:t>
      </w:r>
      <w:r>
        <w:rPr>
          <w:rFonts w:ascii="Times New Roman" w:hAnsi="Times New Roman"/>
          <w:sz w:val="22"/>
        </w:rPr>
        <w:lastRenderedPageBreak/>
        <w:t>(21,2 por ciento) y del Banco Continental (14,8 por ciento). En conjunto, estas tres entidades dieron cuenta del 59,8 por ciento de las captaciones del sistema</w:t>
      </w:r>
      <w:r w:rsidR="00EC6528">
        <w:rPr>
          <w:rFonts w:ascii="Times New Roman" w:hAnsi="Times New Roman"/>
          <w:sz w:val="22"/>
        </w:rPr>
        <w:t>.</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2107AE" w:rsidRDefault="002107AE" w:rsidP="002107AE">
      <w:pPr>
        <w:pStyle w:val="Textoindependiente"/>
        <w:outlineLvl w:val="0"/>
        <w:rPr>
          <w:rFonts w:ascii="Times New Roman" w:hAnsi="Times New Roman"/>
          <w:sz w:val="22"/>
        </w:r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E625C1">
      <w:pPr>
        <w:pStyle w:val="Textoindependiente"/>
        <w:jc w:val="center"/>
        <w:rPr>
          <w:rFonts w:ascii="Times New Roman" w:hAnsi="Times New Roman"/>
          <w:sz w:val="22"/>
        </w:rPr>
      </w:pPr>
      <w:r>
        <w:object w:dxaOrig="5670" w:dyaOrig="7200">
          <v:shape id="_x0000_i1055" type="#_x0000_t75" style="width:283.5pt;height:345pt" o:ole="">
            <v:imagedata r:id="rId137" o:title=""/>
          </v:shape>
          <o:OLEObject Type="Embed" ProgID="Excel.Sheet.12" ShapeID="_x0000_i1055" DrawAspect="Content" ObjectID="_1399363709" r:id="rId138"/>
        </w:object>
      </w:r>
    </w:p>
    <w:p w:rsidR="003B7B43" w:rsidRDefault="003B7B43">
      <w:pPr>
        <w:pStyle w:val="Textoindependiente"/>
        <w:jc w:val="center"/>
        <w:rPr>
          <w:rFonts w:ascii="Times New Roman" w:hAnsi="Times New Roman"/>
          <w:sz w:val="22"/>
        </w:rPr>
      </w:pPr>
    </w:p>
    <w:p w:rsidR="009A7C2F" w:rsidRDefault="009A7C2F">
      <w:pPr>
        <w:pStyle w:val="Textoindependiente"/>
        <w:jc w:val="center"/>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3B7B43">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9A7C2F" w:rsidRDefault="006A54C0" w:rsidP="006A54C0">
      <w:pPr>
        <w:pStyle w:val="Piedepgina"/>
        <w:tabs>
          <w:tab w:val="clear" w:pos="4419"/>
          <w:tab w:val="clear" w:pos="8838"/>
        </w:tabs>
        <w:outlineLvl w:val="0"/>
        <w:rPr>
          <w:sz w:val="22"/>
          <w:lang w:val="es-ES_tradnl"/>
        </w:rPr>
      </w:pPr>
      <w:r>
        <w:rPr>
          <w:sz w:val="22"/>
        </w:rPr>
        <w:lastRenderedPageBreak/>
        <w:t xml:space="preserve">En el mes bajo análisis, el sistema financiero alcanzó un </w:t>
      </w:r>
      <w:r>
        <w:rPr>
          <w:sz w:val="22"/>
          <w:lang w:val="es-ES_tradnl"/>
        </w:rPr>
        <w:t>saldo de créditos equivalente a S/. 4 255,5 millones, mayor en 11,9 por ciento al de similar mes del 2011. Las colocaciones de las empresas bancarias crecieron en 14,8 por ciento y las de las entidades de microcrédito, en 7,0 por ciento.</w:t>
      </w:r>
      <w:r>
        <w:rPr>
          <w:sz w:val="22"/>
          <w:lang w:val="es-ES_tradnl"/>
        </w:rPr>
        <w:br w:type="column"/>
      </w:r>
      <w:r>
        <w:rPr>
          <w:sz w:val="22"/>
          <w:lang w:val="es-ES_tradnl"/>
        </w:rPr>
        <w:lastRenderedPageBreak/>
        <w:t>Los depósitos en moneda nacional representaron el 75,8 por ciento del total y mostraron un crecimiento interanual del 11,0 por ciento,  inferior al registrado por el saldo de créditos en moneda extranjera (15,0 por ciento).</w:t>
      </w:r>
    </w:p>
    <w:p w:rsidR="006A54C0" w:rsidRDefault="006A54C0" w:rsidP="006A54C0">
      <w:pPr>
        <w:pStyle w:val="Piedepgina"/>
        <w:tabs>
          <w:tab w:val="clear" w:pos="4419"/>
          <w:tab w:val="clear" w:pos="8838"/>
        </w:tabs>
        <w:outlineLvl w:val="0"/>
        <w:rPr>
          <w:sz w:val="22"/>
        </w:rPr>
        <w:sectPr w:rsidR="006A54C0" w:rsidSect="006A54C0">
          <w:type w:val="continuous"/>
          <w:pgSz w:w="11907" w:h="16840"/>
          <w:pgMar w:top="1418" w:right="1701" w:bottom="1418" w:left="1701" w:header="720" w:footer="720" w:gutter="0"/>
          <w:cols w:num="2" w:space="720"/>
        </w:sectPr>
      </w:pPr>
    </w:p>
    <w:p w:rsidR="006A54C0" w:rsidRDefault="00482FA5" w:rsidP="00AC3F0F">
      <w:pPr>
        <w:pStyle w:val="Piedepgina"/>
        <w:tabs>
          <w:tab w:val="clear" w:pos="4419"/>
          <w:tab w:val="clear" w:pos="8838"/>
        </w:tabs>
        <w:jc w:val="center"/>
        <w:outlineLvl w:val="0"/>
        <w:rPr>
          <w:sz w:val="22"/>
        </w:rPr>
        <w:sectPr w:rsidR="006A54C0" w:rsidSect="00B225F2">
          <w:type w:val="continuous"/>
          <w:pgSz w:w="11907" w:h="16840"/>
          <w:pgMar w:top="1418" w:right="1701" w:bottom="1418" w:left="1701" w:header="720" w:footer="720" w:gutter="0"/>
          <w:cols w:num="2" w:space="720"/>
        </w:sectPr>
      </w:pPr>
      <w:r>
        <w:rPr>
          <w:noProof/>
          <w:sz w:val="22"/>
          <w:lang w:val="es-PE" w:eastAsia="es-PE"/>
        </w:rPr>
        <w:lastRenderedPageBreak/>
        <w:pict>
          <v:shape id="_x0000_s100310" type="#_x0000_t75" style="position:absolute;left:0;text-align:left;margin-left:60pt;margin-top:5.15pt;width:283.5pt;height:213.65pt;z-index:251755008">
            <v:imagedata r:id="rId139" o:title=""/>
          </v:shape>
          <o:OLEObject Type="Embed" ProgID="Excel.Sheet.12" ShapeID="_x0000_s100310" DrawAspect="Content" ObjectID="_1399363718" r:id="rId140"/>
        </w:pict>
      </w:r>
    </w:p>
    <w:p w:rsidR="00B225F2" w:rsidRDefault="00B225F2" w:rsidP="00AC3F0F">
      <w:pPr>
        <w:pStyle w:val="Piedepgina"/>
        <w:tabs>
          <w:tab w:val="clear" w:pos="4419"/>
          <w:tab w:val="clear" w:pos="8838"/>
        </w:tabs>
        <w:jc w:val="center"/>
        <w:outlineLvl w:val="0"/>
        <w:rPr>
          <w:sz w:val="22"/>
        </w:rPr>
      </w:pPr>
    </w:p>
    <w:p w:rsidR="009A7C2F" w:rsidRDefault="009A7C2F" w:rsidP="00AC3F0F">
      <w:pPr>
        <w:pStyle w:val="Piedepgina"/>
        <w:tabs>
          <w:tab w:val="clear" w:pos="4419"/>
          <w:tab w:val="clear" w:pos="8838"/>
        </w:tabs>
        <w:jc w:val="center"/>
        <w:outlineLvl w:val="0"/>
        <w:rPr>
          <w:sz w:val="22"/>
        </w:rPr>
      </w:pPr>
    </w:p>
    <w:p w:rsidR="009A7C2F" w:rsidRDefault="009A7C2F" w:rsidP="00AC3F0F">
      <w:pPr>
        <w:pStyle w:val="Piedepgina"/>
        <w:tabs>
          <w:tab w:val="clear" w:pos="4419"/>
          <w:tab w:val="clear" w:pos="8838"/>
        </w:tabs>
        <w:jc w:val="center"/>
        <w:outlineLvl w:val="0"/>
        <w:rPr>
          <w:sz w:val="22"/>
        </w:rPr>
      </w:pPr>
    </w:p>
    <w:p w:rsidR="00EC6528" w:rsidRDefault="00EC6528" w:rsidP="00AC3F0F">
      <w:pPr>
        <w:pStyle w:val="Piedepgina"/>
        <w:tabs>
          <w:tab w:val="clear" w:pos="4419"/>
          <w:tab w:val="clear" w:pos="8838"/>
        </w:tabs>
        <w:jc w:val="center"/>
        <w:outlineLvl w:val="0"/>
        <w:rPr>
          <w:sz w:val="22"/>
        </w:rPr>
        <w:sectPr w:rsidR="00EC6528" w:rsidSect="00B225F2">
          <w:type w:val="continuous"/>
          <w:pgSz w:w="11907" w:h="16840"/>
          <w:pgMar w:top="1418" w:right="1701" w:bottom="1418" w:left="1701" w:header="720" w:footer="720" w:gutter="0"/>
          <w:cols w:num="2" w:space="720"/>
        </w:sectPr>
      </w:pPr>
    </w:p>
    <w:p w:rsidR="00C20FD7" w:rsidRDefault="00C20FD7"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6A54C0" w:rsidRDefault="006A54C0" w:rsidP="00AC3F0F">
      <w:pPr>
        <w:pStyle w:val="Piedepgina"/>
        <w:tabs>
          <w:tab w:val="clear" w:pos="4419"/>
          <w:tab w:val="clear" w:pos="8838"/>
        </w:tabs>
        <w:jc w:val="center"/>
        <w:outlineLvl w:val="0"/>
        <w:rPr>
          <w:sz w:val="22"/>
          <w:lang w:val="es-ES_tradnl"/>
        </w:rPr>
      </w:pPr>
    </w:p>
    <w:p w:rsidR="00EC6528" w:rsidRDefault="00EC6528" w:rsidP="002107AE">
      <w:pPr>
        <w:pStyle w:val="Piedepgina"/>
        <w:tabs>
          <w:tab w:val="clear" w:pos="4419"/>
          <w:tab w:val="clear" w:pos="8838"/>
        </w:tabs>
        <w:outlineLvl w:val="0"/>
        <w:rPr>
          <w:sz w:val="22"/>
        </w:rPr>
        <w:sectPr w:rsidR="00EC6528" w:rsidSect="00AC3F0F">
          <w:type w:val="continuous"/>
          <w:pgSz w:w="11907" w:h="16840"/>
          <w:pgMar w:top="1418" w:right="1701" w:bottom="1418" w:left="1701" w:header="720" w:footer="720" w:gutter="0"/>
          <w:cols w:space="720"/>
        </w:sectPr>
      </w:pPr>
    </w:p>
    <w:p w:rsidR="001317A0" w:rsidRDefault="006A54C0" w:rsidP="001317A0">
      <w:pPr>
        <w:pStyle w:val="Piedepgina"/>
        <w:tabs>
          <w:tab w:val="clear" w:pos="4419"/>
          <w:tab w:val="clear" w:pos="8838"/>
        </w:tabs>
        <w:outlineLvl w:val="0"/>
        <w:rPr>
          <w:sz w:val="22"/>
        </w:rPr>
      </w:pPr>
      <w:r>
        <w:rPr>
          <w:sz w:val="22"/>
        </w:rPr>
        <w:lastRenderedPageBreak/>
        <w:t xml:space="preserve">El Banco Crédito alcanzó una participación del 20,6 por ciento en las colocaciones del sistema, siendo secundado por el Banco Continental (20,1 por ciento) y </w:t>
      </w:r>
      <w:smartTag w:uri="urn:schemas-microsoft-com:office:smarttags" w:element="PersonName">
        <w:smartTagPr>
          <w:attr w:name="ProductID" w:val="la Caja"/>
        </w:smartTagPr>
        <w:r>
          <w:rPr>
            <w:sz w:val="22"/>
          </w:rPr>
          <w:t>la Caja</w:t>
        </w:r>
      </w:smartTag>
      <w:r>
        <w:rPr>
          <w:sz w:val="22"/>
        </w:rPr>
        <w:t xml:space="preserve"> </w:t>
      </w:r>
      <w:r>
        <w:rPr>
          <w:sz w:val="22"/>
        </w:rPr>
        <w:lastRenderedPageBreak/>
        <w:t>Municipal de Sullana (10,0 por ciento). Estas tres entidades representaron, conjuntamente, el 50,7 por ciento del crédito otorgado por el sistema financiero.</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E625C1">
      <w:pPr>
        <w:pStyle w:val="Piedepgina"/>
        <w:tabs>
          <w:tab w:val="clear" w:pos="4419"/>
          <w:tab w:val="clear" w:pos="8838"/>
        </w:tabs>
        <w:jc w:val="center"/>
        <w:outlineLvl w:val="0"/>
        <w:rPr>
          <w:color w:val="FF0000"/>
          <w:sz w:val="22"/>
        </w:rPr>
      </w:pPr>
      <w:r w:rsidRPr="00B138AD">
        <w:rPr>
          <w:color w:val="FF0000"/>
          <w:sz w:val="22"/>
        </w:rPr>
        <w:object w:dxaOrig="5970" w:dyaOrig="8252">
          <v:shape id="_x0000_i1056" type="#_x0000_t75" style="width:298.5pt;height:369.75pt" o:ole="">
            <v:imagedata r:id="rId141" o:title=""/>
          </v:shape>
          <o:OLEObject Type="Embed" ProgID="Excel.Sheet.12" ShapeID="_x0000_i1056" DrawAspect="Content" ObjectID="_1399363710" r:id="rId142"/>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6A54C0" w:rsidRDefault="006A54C0" w:rsidP="006A54C0">
      <w:pPr>
        <w:pStyle w:val="Textoindependiente"/>
        <w:rPr>
          <w:rFonts w:ascii="Times New Roman" w:hAnsi="Times New Roman"/>
          <w:sz w:val="22"/>
          <w:szCs w:val="22"/>
        </w:rPr>
      </w:pPr>
      <w:r>
        <w:rPr>
          <w:rFonts w:ascii="Times New Roman" w:hAnsi="Times New Roman"/>
          <w:sz w:val="22"/>
          <w:szCs w:val="22"/>
        </w:rPr>
        <w:lastRenderedPageBreak/>
        <w:t xml:space="preserve">En marzo, el saldo de colocaciones se mantuvo por encima del saldo de los depósitos, superándolo en S/.2 110,7 millones; es decir, en 98,4 por ciento. </w:t>
      </w:r>
      <w:r w:rsidR="00E431E6">
        <w:rPr>
          <w:rFonts w:ascii="Times New Roman" w:hAnsi="Times New Roman"/>
          <w:sz w:val="22"/>
          <w:szCs w:val="22"/>
        </w:rPr>
        <w:br w:type="column"/>
      </w:r>
      <w:r w:rsidRPr="00E431E6">
        <w:rPr>
          <w:rFonts w:ascii="Times New Roman" w:hAnsi="Times New Roman"/>
          <w:sz w:val="22"/>
          <w:szCs w:val="22"/>
        </w:rPr>
        <w:lastRenderedPageBreak/>
        <w:t>Según tipo de crédito</w:t>
      </w:r>
      <w:r w:rsidRPr="00C34F16">
        <w:rPr>
          <w:rFonts w:ascii="Times New Roman" w:hAnsi="Times New Roman"/>
          <w:sz w:val="22"/>
          <w:szCs w:val="22"/>
        </w:rPr>
        <w:t>,</w:t>
      </w:r>
      <w:r>
        <w:rPr>
          <w:rFonts w:ascii="Times New Roman" w:hAnsi="Times New Roman"/>
          <w:sz w:val="22"/>
          <w:szCs w:val="22"/>
        </w:rPr>
        <w:t xml:space="preserve"> </w:t>
      </w:r>
      <w:r w:rsidR="00E431E6">
        <w:rPr>
          <w:rFonts w:ascii="Times New Roman" w:hAnsi="Times New Roman"/>
          <w:sz w:val="22"/>
          <w:szCs w:val="22"/>
        </w:rPr>
        <w:t>la</w:t>
      </w:r>
      <w:r>
        <w:rPr>
          <w:rFonts w:ascii="Times New Roman" w:hAnsi="Times New Roman"/>
          <w:sz w:val="22"/>
          <w:szCs w:val="22"/>
        </w:rPr>
        <w:t xml:space="preserve"> mayor  </w:t>
      </w:r>
      <w:r w:rsidR="00E431E6">
        <w:rPr>
          <w:rFonts w:ascii="Times New Roman" w:hAnsi="Times New Roman"/>
          <w:sz w:val="22"/>
          <w:szCs w:val="22"/>
        </w:rPr>
        <w:t>participación</w:t>
      </w:r>
      <w:r>
        <w:rPr>
          <w:rFonts w:ascii="Times New Roman" w:hAnsi="Times New Roman"/>
          <w:sz w:val="22"/>
          <w:szCs w:val="22"/>
        </w:rPr>
        <w:t xml:space="preserve"> corresponde a </w:t>
      </w:r>
      <w:r w:rsidR="00E431E6">
        <w:rPr>
          <w:rFonts w:ascii="Times New Roman" w:hAnsi="Times New Roman"/>
          <w:sz w:val="22"/>
          <w:szCs w:val="22"/>
        </w:rPr>
        <w:t xml:space="preserve">los </w:t>
      </w:r>
      <w:r>
        <w:rPr>
          <w:rFonts w:ascii="Times New Roman" w:hAnsi="Times New Roman"/>
          <w:sz w:val="22"/>
          <w:szCs w:val="22"/>
        </w:rPr>
        <w:t>créditos de consumo</w:t>
      </w:r>
      <w:r w:rsidR="00E431E6">
        <w:rPr>
          <w:rFonts w:ascii="Times New Roman" w:hAnsi="Times New Roman"/>
          <w:sz w:val="22"/>
          <w:szCs w:val="22"/>
        </w:rPr>
        <w:t xml:space="preserve"> (33,8 por ciento), que también crecieron a la mayor tasa interanual (25,5 por ciento)</w:t>
      </w:r>
      <w:r>
        <w:rPr>
          <w:rFonts w:ascii="Times New Roman" w:hAnsi="Times New Roman"/>
          <w:sz w:val="22"/>
          <w:szCs w:val="22"/>
        </w:rPr>
        <w:t>.</w:t>
      </w:r>
    </w:p>
    <w:p w:rsidR="006A54C0" w:rsidRDefault="006A54C0" w:rsidP="006A54C0">
      <w:pPr>
        <w:pStyle w:val="Textoindependiente"/>
        <w:rPr>
          <w:rFonts w:ascii="Times New Roman" w:hAnsi="Times New Roman"/>
          <w:sz w:val="22"/>
          <w:szCs w:val="22"/>
        </w:rPr>
        <w:sectPr w:rsidR="006A54C0" w:rsidSect="006A54C0">
          <w:type w:val="continuous"/>
          <w:pgSz w:w="11907" w:h="16840"/>
          <w:pgMar w:top="1418" w:right="1701" w:bottom="1418" w:left="1701" w:header="720" w:footer="720" w:gutter="0"/>
          <w:cols w:num="2" w:space="720"/>
        </w:sectPr>
      </w:pPr>
    </w:p>
    <w:p w:rsidR="006F6758" w:rsidRDefault="00482FA5" w:rsidP="00E431E6">
      <w:pPr>
        <w:pStyle w:val="Textoindependiente"/>
        <w:jc w:val="center"/>
        <w:rPr>
          <w:rFonts w:ascii="Times New Roman" w:hAnsi="Times New Roman"/>
          <w:sz w:val="22"/>
          <w:szCs w:val="22"/>
        </w:rPr>
        <w:sectPr w:rsidR="006F6758" w:rsidSect="006A54C0">
          <w:type w:val="continuous"/>
          <w:pgSz w:w="11907" w:h="16840"/>
          <w:pgMar w:top="1418" w:right="1701" w:bottom="1418" w:left="1701" w:header="720" w:footer="720" w:gutter="0"/>
          <w:cols w:space="720"/>
        </w:sectPr>
      </w:pPr>
      <w:r w:rsidRPr="00482FA5">
        <w:rPr>
          <w:rFonts w:ascii="Times New Roman" w:hAnsi="Times New Roman"/>
          <w:noProof/>
        </w:rPr>
        <w:lastRenderedPageBreak/>
        <w:pict>
          <v:shape id="_x0000_s223232" type="#_x0000_t75" style="position:absolute;left:0;text-align:left;margin-left:59.55pt;margin-top:9.6pt;width:299.5pt;height:202.65pt;z-index:251759104">
            <v:imagedata r:id="rId143" o:title=""/>
            <w10:wrap type="square"/>
          </v:shape>
          <o:OLEObject Type="Embed" ProgID="Excel.Sheet.8" ShapeID="_x0000_s223232" DrawAspect="Content" ObjectID="_1399363719" r:id="rId144"/>
        </w:pict>
      </w:r>
    </w:p>
    <w:p w:rsidR="009D31BD" w:rsidRDefault="009D31BD"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p>
    <w:p w:rsidR="009D31BD" w:rsidRDefault="009D31BD" w:rsidP="006A54C0">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6A54C0" w:rsidRDefault="006A54C0" w:rsidP="006A54C0">
      <w:pPr>
        <w:pStyle w:val="Textoindependiente"/>
        <w:rPr>
          <w:rFonts w:ascii="Times New Roman" w:hAnsi="Times New Roman"/>
          <w:sz w:val="22"/>
          <w:szCs w:val="22"/>
        </w:rPr>
      </w:pPr>
      <w:r w:rsidRPr="00B81941">
        <w:rPr>
          <w:rFonts w:ascii="Times New Roman" w:hAnsi="Times New Roman"/>
          <w:sz w:val="22"/>
          <w:szCs w:val="22"/>
        </w:rPr>
        <w:lastRenderedPageBreak/>
        <w:t xml:space="preserve">En cuanto a la </w:t>
      </w:r>
      <w:r w:rsidRPr="008D2BCE">
        <w:rPr>
          <w:rFonts w:ascii="Times New Roman" w:hAnsi="Times New Roman"/>
          <w:sz w:val="22"/>
          <w:szCs w:val="22"/>
        </w:rPr>
        <w:t>cartera pesada</w:t>
      </w:r>
      <w:r w:rsidRPr="00B81941">
        <w:rPr>
          <w:rFonts w:ascii="Times New Roman" w:hAnsi="Times New Roman"/>
          <w:sz w:val="22"/>
          <w:szCs w:val="22"/>
        </w:rPr>
        <w:t>,</w:t>
      </w:r>
      <w:r w:rsidRPr="00D639F5">
        <w:rPr>
          <w:rFonts w:ascii="Times New Roman" w:hAnsi="Times New Roman"/>
          <w:sz w:val="22"/>
          <w:szCs w:val="22"/>
        </w:rPr>
        <w:t xml:space="preserve"> ésta</w:t>
      </w:r>
      <w:r w:rsidRPr="00EE3843">
        <w:rPr>
          <w:rFonts w:ascii="Times New Roman" w:hAnsi="Times New Roman"/>
          <w:sz w:val="22"/>
          <w:szCs w:val="22"/>
        </w:rPr>
        <w:t xml:space="preserve"> se ubicó en </w:t>
      </w:r>
      <w:r>
        <w:rPr>
          <w:rFonts w:ascii="Times New Roman" w:hAnsi="Times New Roman"/>
          <w:sz w:val="22"/>
          <w:szCs w:val="22"/>
        </w:rPr>
        <w:t xml:space="preserve">4,0 por ciento, como porcentaje de las colocaciones brutas, resultando mayor en 0,5 </w:t>
      </w:r>
      <w:r>
        <w:rPr>
          <w:rFonts w:ascii="Times New Roman" w:hAnsi="Times New Roman"/>
          <w:sz w:val="22"/>
          <w:szCs w:val="22"/>
        </w:rPr>
        <w:lastRenderedPageBreak/>
        <w:t>puntos porcentuales a la morosidad de marzo del año anterior.</w:t>
      </w:r>
    </w:p>
    <w:p w:rsidR="00387758" w:rsidRDefault="00387758" w:rsidP="00387758">
      <w:pPr>
        <w:pStyle w:val="Textoindependiente"/>
        <w:rPr>
          <w:rFonts w:ascii="Times New Roman" w:hAnsi="Times New Roman"/>
          <w:sz w:val="22"/>
          <w:szCs w:val="22"/>
        </w:rPr>
        <w:sectPr w:rsidR="00387758" w:rsidSect="006F6758">
          <w:headerReference w:type="default" r:id="rId145"/>
          <w:footerReference w:type="default" r:id="rId146"/>
          <w:type w:val="continuous"/>
          <w:pgSz w:w="12240" w:h="15840"/>
          <w:pgMar w:top="1417" w:right="1701" w:bottom="1417" w:left="1701" w:header="708" w:footer="708" w:gutter="0"/>
          <w:cols w:num="2" w:space="709"/>
          <w:docGrid w:linePitch="360"/>
        </w:sectPr>
      </w:pPr>
    </w:p>
    <w:p w:rsidR="003748DF" w:rsidRDefault="009A7C2F" w:rsidP="00234A64">
      <w:pPr>
        <w:pStyle w:val="Piedepgina"/>
        <w:tabs>
          <w:tab w:val="clear" w:pos="4419"/>
          <w:tab w:val="clear" w:pos="8838"/>
        </w:tabs>
        <w:outlineLvl w:val="0"/>
        <w:rPr>
          <w:sz w:val="22"/>
          <w:szCs w:val="22"/>
        </w:rPr>
        <w:sectPr w:rsidR="003748DF" w:rsidSect="003748DF">
          <w:headerReference w:type="default" r:id="rId147"/>
          <w:footerReference w:type="default" r:id="rId148"/>
          <w:type w:val="continuous"/>
          <w:pgSz w:w="12240" w:h="15840"/>
          <w:pgMar w:top="1417" w:right="1701" w:bottom="1417" w:left="1701" w:header="708" w:footer="708" w:gutter="0"/>
          <w:cols w:num="2" w:space="720"/>
          <w:docGrid w:linePitch="360"/>
        </w:sectPr>
      </w:pPr>
      <w:r>
        <w:rPr>
          <w:sz w:val="22"/>
          <w:szCs w:val="22"/>
        </w:rPr>
        <w:lastRenderedPageBreak/>
        <w:t xml:space="preserve"> </w:t>
      </w:r>
    </w:p>
    <w:p w:rsidR="00234A64" w:rsidRDefault="00234A64" w:rsidP="00234A64">
      <w:pPr>
        <w:pStyle w:val="Piedepgina"/>
        <w:tabs>
          <w:tab w:val="clear" w:pos="4419"/>
          <w:tab w:val="clear" w:pos="8838"/>
        </w:tabs>
        <w:outlineLvl w:val="0"/>
        <w:rPr>
          <w:sz w:val="22"/>
          <w:szCs w:val="22"/>
        </w:rPr>
      </w:pP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type w:val="continuous"/>
          <w:pgSz w:w="12240" w:h="15840"/>
          <w:pgMar w:top="1417" w:right="1701" w:bottom="1417" w:left="1701" w:header="708" w:footer="708" w:gutter="0"/>
          <w:cols w:num="2" w:space="720"/>
          <w:docGrid w:linePitch="360"/>
        </w:sectPr>
      </w:pPr>
    </w:p>
    <w:p w:rsidR="00234A64" w:rsidRDefault="00D85D41" w:rsidP="00AF200C">
      <w:pPr>
        <w:pStyle w:val="Textoindependiente"/>
        <w:ind w:left="1416"/>
        <w:rPr>
          <w:color w:val="FF0000"/>
          <w:sz w:val="22"/>
        </w:rPr>
        <w:sectPr w:rsidR="00234A64" w:rsidSect="00234A64">
          <w:type w:val="continuous"/>
          <w:pgSz w:w="12240" w:h="15840"/>
          <w:pgMar w:top="1417" w:right="1701" w:bottom="1417" w:left="1701" w:header="708" w:footer="708" w:gutter="0"/>
          <w:cols w:space="720"/>
          <w:docGrid w:linePitch="360"/>
        </w:sectPr>
      </w:pPr>
      <w:r w:rsidRPr="00B138AD">
        <w:rPr>
          <w:color w:val="FF0000"/>
          <w:sz w:val="22"/>
        </w:rPr>
        <w:object w:dxaOrig="6427" w:dyaOrig="4252">
          <v:shape id="_x0000_i1057" type="#_x0000_t75" style="width:313.5pt;height:207pt" o:ole="">
            <v:imagedata r:id="rId149" o:title=""/>
          </v:shape>
          <o:OLEObject Type="Embed" ProgID="Excel.Sheet.12" ShapeID="_x0000_i1057" DrawAspect="Content" ObjectID="_1399363711" r:id="rId150"/>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E431E6">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6A54C0" w:rsidRDefault="006A54C0" w:rsidP="00E431E6">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El </w:t>
      </w:r>
      <w:r w:rsidRPr="00C34F16">
        <w:rPr>
          <w:rFonts w:ascii="Times New Roman" w:hAnsi="Times New Roman"/>
          <w:sz w:val="22"/>
          <w:szCs w:val="24"/>
          <w:lang w:val="es-ES"/>
        </w:rPr>
        <w:t>crédito otorgado a la pequeña y microempresa bordeó</w:t>
      </w:r>
      <w:r>
        <w:rPr>
          <w:rFonts w:ascii="Times New Roman" w:hAnsi="Times New Roman"/>
          <w:sz w:val="22"/>
          <w:szCs w:val="24"/>
          <w:lang w:val="es-ES"/>
        </w:rPr>
        <w:t xml:space="preserve"> un saldo de S/.</w:t>
      </w:r>
      <w:r w:rsidRPr="00E431E6">
        <w:rPr>
          <w:rFonts w:ascii="Times New Roman" w:hAnsi="Times New Roman"/>
          <w:sz w:val="22"/>
          <w:szCs w:val="24"/>
          <w:lang w:val="es-ES"/>
        </w:rPr>
        <w:t>1 3</w:t>
      </w:r>
      <w:r w:rsidR="00E431E6" w:rsidRPr="00E431E6">
        <w:rPr>
          <w:rFonts w:ascii="Times New Roman" w:hAnsi="Times New Roman"/>
          <w:sz w:val="22"/>
          <w:szCs w:val="24"/>
          <w:lang w:val="es-ES"/>
        </w:rPr>
        <w:t>95</w:t>
      </w:r>
      <w:r w:rsidRPr="00E431E6">
        <w:rPr>
          <w:rFonts w:ascii="Times New Roman" w:hAnsi="Times New Roman"/>
          <w:sz w:val="22"/>
          <w:szCs w:val="24"/>
          <w:lang w:val="es-ES"/>
        </w:rPr>
        <w:t>,</w:t>
      </w:r>
      <w:r w:rsidR="00E431E6" w:rsidRPr="00E431E6">
        <w:rPr>
          <w:rFonts w:ascii="Times New Roman" w:hAnsi="Times New Roman"/>
          <w:sz w:val="22"/>
          <w:szCs w:val="24"/>
          <w:lang w:val="es-ES"/>
        </w:rPr>
        <w:t>1</w:t>
      </w:r>
      <w:r>
        <w:rPr>
          <w:rFonts w:ascii="Times New Roman" w:hAnsi="Times New Roman"/>
          <w:sz w:val="22"/>
          <w:szCs w:val="24"/>
          <w:lang w:val="es-ES"/>
        </w:rPr>
        <w:t xml:space="preserve"> millones</w:t>
      </w:r>
      <w:r w:rsidR="00E431E6">
        <w:rPr>
          <w:rFonts w:ascii="Times New Roman" w:hAnsi="Times New Roman"/>
          <w:sz w:val="22"/>
          <w:szCs w:val="24"/>
          <w:lang w:val="es-ES"/>
        </w:rPr>
        <w:t>,</w:t>
      </w:r>
      <w:r>
        <w:rPr>
          <w:rFonts w:ascii="Times New Roman" w:hAnsi="Times New Roman"/>
          <w:sz w:val="22"/>
          <w:szCs w:val="24"/>
          <w:lang w:val="es-ES"/>
        </w:rPr>
        <w:t xml:space="preserve"> resultando mayor en </w:t>
      </w:r>
      <w:r w:rsidR="00E431E6">
        <w:rPr>
          <w:rFonts w:ascii="Times New Roman" w:hAnsi="Times New Roman"/>
          <w:sz w:val="22"/>
          <w:szCs w:val="24"/>
          <w:lang w:val="es-ES"/>
        </w:rPr>
        <w:t>7</w:t>
      </w:r>
      <w:r>
        <w:rPr>
          <w:rFonts w:ascii="Times New Roman" w:hAnsi="Times New Roman"/>
          <w:sz w:val="22"/>
          <w:szCs w:val="24"/>
          <w:lang w:val="es-ES"/>
        </w:rPr>
        <w:t>,</w:t>
      </w:r>
      <w:r w:rsidR="00E431E6">
        <w:rPr>
          <w:rFonts w:ascii="Times New Roman" w:hAnsi="Times New Roman"/>
          <w:sz w:val="22"/>
          <w:szCs w:val="24"/>
          <w:lang w:val="es-ES"/>
        </w:rPr>
        <w:t>9</w:t>
      </w:r>
      <w:r>
        <w:rPr>
          <w:rFonts w:ascii="Times New Roman" w:hAnsi="Times New Roman"/>
          <w:sz w:val="22"/>
          <w:szCs w:val="24"/>
          <w:lang w:val="es-ES"/>
        </w:rPr>
        <w:t xml:space="preserve"> por ciento al registrado en el mismo mes del 2011. Las </w:t>
      </w:r>
      <w:r w:rsidR="00E431E6">
        <w:rPr>
          <w:rFonts w:ascii="Times New Roman" w:hAnsi="Times New Roman"/>
          <w:sz w:val="22"/>
          <w:szCs w:val="24"/>
          <w:lang w:val="es-ES"/>
        </w:rPr>
        <w:lastRenderedPageBreak/>
        <w:t>c</w:t>
      </w:r>
      <w:r>
        <w:rPr>
          <w:rFonts w:ascii="Times New Roman" w:hAnsi="Times New Roman"/>
          <w:sz w:val="22"/>
          <w:szCs w:val="24"/>
          <w:lang w:val="es-ES"/>
        </w:rPr>
        <w:t>ajas municipales son las entidades que muestran mayor presenc</w:t>
      </w:r>
      <w:r w:rsidR="00E431E6">
        <w:rPr>
          <w:rFonts w:ascii="Times New Roman" w:hAnsi="Times New Roman"/>
          <w:sz w:val="22"/>
          <w:szCs w:val="24"/>
          <w:lang w:val="es-ES"/>
        </w:rPr>
        <w:t>ia en este segmento crediticio, seguidas de cerca por las empresas bancarias.</w:t>
      </w:r>
    </w:p>
    <w:p w:rsidR="006A54C0" w:rsidRDefault="006A54C0" w:rsidP="006A54C0">
      <w:pPr>
        <w:pStyle w:val="Textoindependiente"/>
        <w:rPr>
          <w:rFonts w:ascii="Times New Roman" w:hAnsi="Times New Roman"/>
          <w:sz w:val="22"/>
          <w:szCs w:val="24"/>
          <w:lang w:val="es-ES"/>
        </w:rPr>
        <w:sectPr w:rsidR="006A54C0" w:rsidSect="00F35EBE">
          <w:type w:val="continuous"/>
          <w:pgSz w:w="12240" w:h="15840"/>
          <w:pgMar w:top="1417" w:right="1701" w:bottom="1417" w:left="1701" w:header="708" w:footer="708" w:gutter="0"/>
          <w:cols w:num="2" w:space="720"/>
          <w:docGrid w:linePitch="360"/>
        </w:sectPr>
      </w:pPr>
    </w:p>
    <w:p w:rsidR="00F771D3" w:rsidRDefault="00F771D3" w:rsidP="00F771D3">
      <w:pPr>
        <w:pStyle w:val="Textoindependiente"/>
        <w:rPr>
          <w:rFonts w:ascii="Times New Roman" w:hAnsi="Times New Roman"/>
          <w:sz w:val="22"/>
          <w:szCs w:val="24"/>
          <w:lang w:val="es-ES"/>
        </w:rPr>
        <w:sectPr w:rsidR="00F771D3" w:rsidSect="00E84942">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A02526"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p>
    <w:p w:rsidR="00A02526" w:rsidRDefault="00CE1F3B" w:rsidP="00A02526">
      <w:pPr>
        <w:pStyle w:val="Textoindependiente"/>
        <w:jc w:val="center"/>
        <w:rPr>
          <w:color w:val="FF0000"/>
          <w:sz w:val="22"/>
        </w:rPr>
      </w:pPr>
      <w:r w:rsidRPr="00DB4A99">
        <w:rPr>
          <w:color w:val="FF0000"/>
          <w:sz w:val="22"/>
        </w:rPr>
        <w:object w:dxaOrig="6165" w:dyaOrig="4130">
          <v:shape id="_x0000_i1058" type="#_x0000_t75" style="width:300pt;height:201pt" o:ole="">
            <v:imagedata r:id="rId151" o:title=""/>
          </v:shape>
          <o:OLEObject Type="Embed" ProgID="Excel.Sheet.8" ShapeID="_x0000_i1058" DrawAspect="Content" ObjectID="_1399363712" r:id="rId152"/>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AB2CA4" w:rsidRDefault="00AB2CA4">
      <w:pPr>
        <w:rPr>
          <w:color w:val="FF0000"/>
          <w:lang w:val="es-MX"/>
        </w:rPr>
      </w:pPr>
    </w:p>
    <w:p w:rsidR="00852557" w:rsidRDefault="00852557">
      <w:pPr>
        <w:rPr>
          <w:color w:val="FF0000"/>
          <w:lang w:val="es-MX"/>
        </w:rPr>
      </w:pPr>
    </w:p>
    <w:p w:rsidR="00333A50" w:rsidRDefault="00333A50">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53"/>
          <w:footerReference w:type="default" r:id="rId154"/>
          <w:pgSz w:w="12240" w:h="15840"/>
          <w:pgMar w:top="1417" w:right="1701" w:bottom="1417" w:left="1701" w:header="708" w:footer="708" w:gutter="0"/>
          <w:cols w:space="708"/>
          <w:vAlign w:val="both"/>
          <w:docGrid w:linePitch="360"/>
        </w:sectPr>
      </w:pPr>
    </w:p>
    <w:p w:rsidR="002873D0" w:rsidRDefault="00482FA5" w:rsidP="00926338">
      <w:pPr>
        <w:jc w:val="center"/>
        <w:rPr>
          <w:color w:val="FF0000"/>
        </w:rPr>
      </w:pPr>
      <w:r w:rsidRPr="00482FA5">
        <w:rPr>
          <w:noProof/>
          <w:lang w:val="es-PE" w:eastAsia="es-PE"/>
        </w:rPr>
        <w:lastRenderedPageBreak/>
        <w:pict>
          <v:shape id="_x0000_s1164" type="#_x0000_t202" style="position:absolute;left:0;text-align:left;margin-left:-15.05pt;margin-top:-35.5pt;width:66.45pt;height:18.05pt;z-index:251657728;mso-width-relative:margin;mso-height-relative:margin" stroked="f">
            <v:textbox style="mso-next-textbox:#_x0000_s1164">
              <w:txbxContent>
                <w:p w:rsidR="00DB53D8" w:rsidRDefault="00DB53D8">
                  <w:pPr>
                    <w:rPr>
                      <w:b/>
                      <w:sz w:val="20"/>
                      <w:szCs w:val="20"/>
                    </w:rPr>
                  </w:pPr>
                  <w:r w:rsidRPr="00F35EBE">
                    <w:rPr>
                      <w:b/>
                      <w:sz w:val="20"/>
                      <w:szCs w:val="20"/>
                    </w:rPr>
                    <w:t>ANEXO 1</w:t>
                  </w:r>
                </w:p>
              </w:txbxContent>
            </v:textbox>
          </v:shape>
        </w:pict>
      </w:r>
      <w:r w:rsidR="00FC3B5E" w:rsidRPr="00FC3B5E">
        <w:rPr>
          <w:noProof/>
          <w:lang w:val="es-PE" w:eastAsia="es-PE"/>
        </w:rPr>
        <w:drawing>
          <wp:inline distT="0" distB="0" distL="0" distR="0">
            <wp:extent cx="8255848" cy="6019800"/>
            <wp:effectExtent l="1905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5" cstate="print"/>
                    <a:srcRect/>
                    <a:stretch>
                      <a:fillRect/>
                    </a:stretch>
                  </pic:blipFill>
                  <pic:spPr bwMode="auto">
                    <a:xfrm>
                      <a:off x="0" y="0"/>
                      <a:ext cx="8257540" cy="6021034"/>
                    </a:xfrm>
                    <a:prstGeom prst="rect">
                      <a:avLst/>
                    </a:prstGeom>
                    <a:noFill/>
                    <a:ln w="9525">
                      <a:noFill/>
                      <a:miter lim="800000"/>
                      <a:headEnd/>
                      <a:tailEnd/>
                    </a:ln>
                  </pic:spPr>
                </pic:pic>
              </a:graphicData>
            </a:graphic>
          </wp:inline>
        </w:drawing>
      </w:r>
    </w:p>
    <w:p w:rsidR="00852557" w:rsidRDefault="00482FA5">
      <w:pPr>
        <w:rPr>
          <w:color w:val="FF0000"/>
        </w:rPr>
      </w:pPr>
      <w:r>
        <w:rPr>
          <w:noProof/>
          <w:color w:val="FF0000"/>
          <w:lang w:val="es-PE" w:eastAsia="es-PE"/>
        </w:rPr>
        <w:lastRenderedPageBreak/>
        <w:pict>
          <v:shape id="_x0000_s1152" type="#_x0000_t202" style="position:absolute;left:0;text-align:left;margin-left:21.7pt;margin-top:1.65pt;width:66.45pt;height:24.2pt;z-index:251645440;mso-width-relative:margin;mso-height-relative:margin" stroked="f">
            <v:textbox style="mso-next-textbox:#_x0000_s1152">
              <w:txbxContent>
                <w:p w:rsidR="00DB53D8" w:rsidRPr="001B5371" w:rsidRDefault="00DB53D8">
                  <w:pPr>
                    <w:rPr>
                      <w:b/>
                      <w:sz w:val="20"/>
                      <w:szCs w:val="20"/>
                    </w:rPr>
                  </w:pPr>
                  <w:r w:rsidRPr="00414D84">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D2334E" w:rsidP="009E1A9A">
      <w:pPr>
        <w:jc w:val="center"/>
        <w:rPr>
          <w:color w:val="FF0000"/>
        </w:rPr>
      </w:pPr>
      <w:r w:rsidRPr="00D2334E">
        <w:drawing>
          <wp:inline distT="0" distB="0" distL="0" distR="0">
            <wp:extent cx="8257540" cy="3422958"/>
            <wp:effectExtent l="1905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6" cstate="print"/>
                    <a:srcRect/>
                    <a:stretch>
                      <a:fillRect/>
                    </a:stretch>
                  </pic:blipFill>
                  <pic:spPr bwMode="auto">
                    <a:xfrm>
                      <a:off x="0" y="0"/>
                      <a:ext cx="8257540" cy="3422958"/>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9E1A9A" w:rsidRDefault="009E1A9A">
      <w:pPr>
        <w:rPr>
          <w:color w:val="FF0000"/>
        </w:rPr>
      </w:pPr>
    </w:p>
    <w:p w:rsidR="000803B1" w:rsidRDefault="000803B1">
      <w:pPr>
        <w:rPr>
          <w:color w:val="FF0000"/>
        </w:rPr>
      </w:pPr>
    </w:p>
    <w:p w:rsidR="00852557" w:rsidRDefault="00482FA5">
      <w:pPr>
        <w:rPr>
          <w:color w:val="FF0000"/>
          <w:lang w:val="es-MX"/>
        </w:rPr>
      </w:pPr>
      <w:r>
        <w:rPr>
          <w:noProof/>
          <w:color w:val="FF0000"/>
          <w:lang w:val="es-PE" w:eastAsia="es-PE"/>
        </w:rPr>
        <w:lastRenderedPageBreak/>
        <w:pict>
          <v:shape id="_x0000_s1153" type="#_x0000_t202" style="position:absolute;left:0;text-align:left;margin-left:.35pt;margin-top:-30.25pt;width:84.05pt;height:19.45pt;z-index:251646464;mso-width-relative:margin;mso-height-relative:margin" stroked="f">
            <v:textbox style="mso-next-textbox:#_x0000_s1153">
              <w:txbxContent>
                <w:p w:rsidR="00DB53D8" w:rsidRDefault="00DB53D8">
                  <w:pPr>
                    <w:rPr>
                      <w:b/>
                      <w:sz w:val="20"/>
                      <w:szCs w:val="20"/>
                    </w:rPr>
                  </w:pPr>
                  <w:r w:rsidRPr="000803B1">
                    <w:rPr>
                      <w:b/>
                      <w:sz w:val="20"/>
                      <w:szCs w:val="20"/>
                    </w:rPr>
                    <w:t>ANEXO 3</w:t>
                  </w:r>
                </w:p>
              </w:txbxContent>
            </v:textbox>
          </v:shape>
        </w:pict>
      </w:r>
      <w:r w:rsidR="008E25BC">
        <w:rPr>
          <w:color w:val="FF0000"/>
          <w:lang w:val="es-MX"/>
        </w:rPr>
        <w:t xml:space="preserve"> </w:t>
      </w:r>
    </w:p>
    <w:p w:rsidR="00852557" w:rsidRDefault="004A71F7" w:rsidP="00DB21F1">
      <w:pPr>
        <w:ind w:left="-170"/>
        <w:jc w:val="center"/>
        <w:rPr>
          <w:color w:val="FF0000"/>
        </w:rPr>
        <w:sectPr w:rsidR="00852557">
          <w:headerReference w:type="default" r:id="rId157"/>
          <w:footerReference w:type="default" r:id="rId158"/>
          <w:type w:val="continuous"/>
          <w:pgSz w:w="15840" w:h="12240" w:orient="landscape"/>
          <w:pgMar w:top="1701" w:right="1418" w:bottom="1701" w:left="1418" w:header="709" w:footer="709" w:gutter="0"/>
          <w:cols w:space="708"/>
          <w:vAlign w:val="both"/>
          <w:docGrid w:linePitch="360"/>
        </w:sectPr>
      </w:pPr>
      <w:r w:rsidRPr="004A71F7">
        <w:rPr>
          <w:noProof/>
          <w:lang w:val="es-PE" w:eastAsia="es-PE"/>
        </w:rPr>
        <w:drawing>
          <wp:inline distT="0" distB="0" distL="0" distR="0">
            <wp:extent cx="8257540" cy="4341428"/>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9" cstate="print"/>
                    <a:srcRect/>
                    <a:stretch>
                      <a:fillRect/>
                    </a:stretch>
                  </pic:blipFill>
                  <pic:spPr bwMode="auto">
                    <a:xfrm>
                      <a:off x="0" y="0"/>
                      <a:ext cx="8257540" cy="4341428"/>
                    </a:xfrm>
                    <a:prstGeom prst="rect">
                      <a:avLst/>
                    </a:prstGeom>
                    <a:noFill/>
                    <a:ln w="9525">
                      <a:noFill/>
                      <a:miter lim="800000"/>
                      <a:headEnd/>
                      <a:tailEnd/>
                    </a:ln>
                  </pic:spPr>
                </pic:pic>
              </a:graphicData>
            </a:graphic>
          </wp:inline>
        </w:drawing>
      </w:r>
    </w:p>
    <w:p w:rsidR="004D4FA2" w:rsidRDefault="004D4FA2">
      <w:pPr>
        <w:rPr>
          <w:color w:val="FF0000"/>
          <w:lang w:val="es-MX"/>
        </w:rPr>
      </w:pPr>
    </w:p>
    <w:p w:rsidR="009A403A" w:rsidRDefault="009A403A">
      <w:pPr>
        <w:rPr>
          <w:color w:val="FF0000"/>
          <w:lang w:val="es-MX"/>
        </w:rPr>
      </w:pPr>
    </w:p>
    <w:p w:rsidR="0069742A" w:rsidRDefault="0069742A">
      <w:pPr>
        <w:rPr>
          <w:color w:val="FF0000"/>
          <w:lang w:val="es-MX"/>
        </w:rPr>
      </w:pPr>
    </w:p>
    <w:p w:rsidR="000803B1" w:rsidRDefault="000803B1">
      <w:pPr>
        <w:rPr>
          <w:color w:val="FF0000"/>
          <w:lang w:val="es-MX"/>
        </w:rPr>
      </w:pPr>
    </w:p>
    <w:p w:rsidR="000803B1" w:rsidRDefault="000803B1">
      <w:pPr>
        <w:rPr>
          <w:color w:val="FF0000"/>
          <w:lang w:val="es-MX"/>
        </w:rPr>
      </w:pPr>
    </w:p>
    <w:p w:rsidR="000803B1" w:rsidRDefault="000803B1">
      <w:pPr>
        <w:rPr>
          <w:color w:val="FF0000"/>
          <w:lang w:val="es-MX"/>
        </w:rPr>
      </w:pPr>
    </w:p>
    <w:p w:rsidR="00852557" w:rsidRDefault="00482FA5">
      <w:pPr>
        <w:rPr>
          <w:color w:val="FF0000"/>
          <w:lang w:val="es-MX"/>
        </w:rPr>
      </w:pPr>
      <w:r w:rsidRPr="00482FA5">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DB53D8" w:rsidRDefault="00DB53D8">
                  <w:pPr>
                    <w:rPr>
                      <w:b/>
                      <w:sz w:val="20"/>
                      <w:szCs w:val="20"/>
                    </w:rPr>
                  </w:pPr>
                  <w:r w:rsidRPr="00414D84">
                    <w:rPr>
                      <w:b/>
                      <w:sz w:val="20"/>
                      <w:szCs w:val="20"/>
                    </w:rPr>
                    <w:t>ANEXO 4</w:t>
                  </w:r>
                </w:p>
              </w:txbxContent>
            </v:textbox>
          </v:shape>
        </w:pict>
      </w: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11150B">
      <w:pPr>
        <w:jc w:val="center"/>
      </w:pPr>
      <w:r w:rsidRPr="0011150B">
        <w:lastRenderedPageBreak/>
        <w:drawing>
          <wp:inline distT="0" distB="0" distL="0" distR="0">
            <wp:extent cx="8257540" cy="4355531"/>
            <wp:effectExtent l="1905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0" cstate="print"/>
                    <a:srcRect/>
                    <a:stretch>
                      <a:fillRect/>
                    </a:stretch>
                  </pic:blipFill>
                  <pic:spPr bwMode="auto">
                    <a:xfrm>
                      <a:off x="0" y="0"/>
                      <a:ext cx="8257540" cy="4355531"/>
                    </a:xfrm>
                    <a:prstGeom prst="rect">
                      <a:avLst/>
                    </a:prstGeom>
                    <a:noFill/>
                    <a:ln w="9525">
                      <a:noFill/>
                      <a:miter lim="800000"/>
                      <a:headEnd/>
                      <a:tailEnd/>
                    </a:ln>
                  </pic:spPr>
                </pic:pic>
              </a:graphicData>
            </a:graphic>
          </wp:inline>
        </w:drawing>
      </w:r>
    </w:p>
    <w:p w:rsidR="0066182D" w:rsidRDefault="0066182D">
      <w:pPr>
        <w:jc w:val="center"/>
      </w:pPr>
    </w:p>
    <w:p w:rsidR="0066182D" w:rsidRDefault="0066182D">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414D84" w:rsidRDefault="00414D84">
      <w:pPr>
        <w:rPr>
          <w:color w:val="FF0000"/>
        </w:rPr>
      </w:pPr>
    </w:p>
    <w:p w:rsidR="0008391D" w:rsidRDefault="00482FA5">
      <w:pPr>
        <w:rPr>
          <w:color w:val="FF0000"/>
        </w:rPr>
      </w:pPr>
      <w:r>
        <w:rPr>
          <w:noProof/>
          <w:color w:val="FF0000"/>
          <w:lang w:val="es-PE" w:eastAsia="es-PE"/>
        </w:rPr>
        <w:lastRenderedPageBreak/>
        <w:pict>
          <v:shape id="_x0000_s1154" type="#_x0000_t202" style="position:absolute;left:0;text-align:left;margin-left:-1.8pt;margin-top:-31.5pt;width:84.05pt;height:32.6pt;z-index:251647488;mso-width-relative:margin;mso-height-relative:margin" stroked="f">
            <v:textbox style="mso-next-textbox:#_x0000_s1154">
              <w:txbxContent>
                <w:p w:rsidR="00DB53D8" w:rsidRDefault="00DB53D8">
                  <w:pPr>
                    <w:rPr>
                      <w:b/>
                      <w:sz w:val="20"/>
                      <w:szCs w:val="20"/>
                      <w:highlight w:val="yellow"/>
                      <w:lang w:val="es-PE"/>
                    </w:rPr>
                  </w:pPr>
                </w:p>
                <w:p w:rsidR="00DB53D8" w:rsidRPr="00323202" w:rsidRDefault="00DB53D8">
                  <w:pPr>
                    <w:rPr>
                      <w:b/>
                      <w:sz w:val="20"/>
                      <w:szCs w:val="20"/>
                      <w:lang w:val="es-PE"/>
                    </w:rPr>
                  </w:pPr>
                  <w:r w:rsidRPr="00414D84">
                    <w:rPr>
                      <w:b/>
                      <w:sz w:val="20"/>
                      <w:szCs w:val="20"/>
                      <w:lang w:val="es-PE"/>
                    </w:rPr>
                    <w:t>ANEXO 5</w:t>
                  </w:r>
                </w:p>
              </w:txbxContent>
            </v:textbox>
          </v:shape>
        </w:pict>
      </w:r>
      <w:r w:rsidR="00351199" w:rsidRPr="00351199">
        <w:rPr>
          <w:color w:val="FF0000"/>
        </w:rPr>
        <w:t xml:space="preserve"> </w:t>
      </w:r>
      <w:r w:rsidR="00351199" w:rsidRPr="00351199">
        <w:drawing>
          <wp:inline distT="0" distB="0" distL="0" distR="0">
            <wp:extent cx="8257540" cy="4417021"/>
            <wp:effectExtent l="1905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1" cstate="print"/>
                    <a:srcRect/>
                    <a:stretch>
                      <a:fillRect/>
                    </a:stretch>
                  </pic:blipFill>
                  <pic:spPr bwMode="auto">
                    <a:xfrm>
                      <a:off x="0" y="0"/>
                      <a:ext cx="8257540" cy="4417021"/>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482FA5" w:rsidRPr="00482FA5">
        <w:rPr>
          <w:noProof/>
          <w:color w:val="FF0000"/>
          <w:highlight w:val="yellow"/>
          <w:lang w:val="es-PE" w:eastAsia="es-PE"/>
        </w:rPr>
        <w:lastRenderedPageBreak/>
        <w:pict>
          <v:shape id="_x0000_s1155" type="#_x0000_t202" style="position:absolute;left:0;text-align:left;margin-left:115.6pt;margin-top:-51.45pt;width:102.45pt;height:18.45pt;z-index:251648512;mso-width-relative:margin;mso-height-relative:margin" stroked="f">
            <v:textbox style="mso-next-textbox:#_x0000_s1155">
              <w:txbxContent>
                <w:p w:rsidR="00DB53D8" w:rsidRPr="00870851" w:rsidRDefault="00DB53D8"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735C2D" w:rsidRPr="009E1A9A" w:rsidRDefault="000D3447" w:rsidP="00323202">
      <w:pPr>
        <w:ind w:firstLine="708"/>
        <w:rPr>
          <w:color w:val="FF0000"/>
          <w:lang w:val="es-MX"/>
        </w:rPr>
      </w:pPr>
      <w:r w:rsidRPr="000803B1">
        <w:rPr>
          <w:b/>
          <w:sz w:val="20"/>
          <w:szCs w:val="20"/>
        </w:rPr>
        <w:t>ANEXO 6</w:t>
      </w: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0803B1">
      <w:pPr>
        <w:jc w:val="center"/>
      </w:pPr>
      <w:r w:rsidRPr="000803B1">
        <w:rPr>
          <w:noProof/>
          <w:lang w:val="es-PE" w:eastAsia="es-PE"/>
        </w:rPr>
        <w:drawing>
          <wp:inline distT="0" distB="0" distL="0" distR="0">
            <wp:extent cx="3762375" cy="3095625"/>
            <wp:effectExtent l="19050" t="0" r="952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2" cstate="print"/>
                    <a:srcRect/>
                    <a:stretch>
                      <a:fillRect/>
                    </a:stretch>
                  </pic:blipFill>
                  <pic:spPr bwMode="auto">
                    <a:xfrm>
                      <a:off x="0" y="0"/>
                      <a:ext cx="3762375" cy="3095625"/>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365C4D" w:rsidRDefault="00365C4D">
      <w:pPr>
        <w:jc w:val="center"/>
      </w:pPr>
    </w:p>
    <w:p w:rsidR="00C10E5E" w:rsidRDefault="00C10E5E" w:rsidP="009A403A"/>
    <w:p w:rsidR="00C261BE" w:rsidRDefault="00C261BE" w:rsidP="009A403A"/>
    <w:p w:rsidR="009A403A" w:rsidRDefault="009A403A" w:rsidP="009A403A"/>
    <w:p w:rsidR="00C10E5E" w:rsidRDefault="00482FA5">
      <w:pPr>
        <w:jc w:val="center"/>
      </w:pPr>
      <w:r w:rsidRPr="00482FA5">
        <w:rPr>
          <w:noProof/>
          <w:color w:val="FF0000"/>
          <w:lang w:val="es-PE" w:eastAsia="es-PE"/>
        </w:rPr>
        <w:pict>
          <v:shape id="_x0000_s1157" type="#_x0000_t202" style="position:absolute;left:0;text-align:left;margin-left:32.1pt;margin-top:6.2pt;width:60.4pt;height:25.55pt;z-index:251650560;mso-width-relative:margin;mso-height-relative:margin" stroked="f">
            <v:textbox style="mso-next-textbox:#_x0000_s1157">
              <w:txbxContent>
                <w:p w:rsidR="00DB53D8" w:rsidRDefault="00DB53D8">
                  <w:pPr>
                    <w:rPr>
                      <w:b/>
                      <w:sz w:val="20"/>
                      <w:szCs w:val="16"/>
                    </w:rPr>
                  </w:pPr>
                  <w:r w:rsidRPr="00F35EBE">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E075D4"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E075D4">
        <w:rPr>
          <w:noProof/>
          <w:lang w:val="es-PE" w:eastAsia="es-PE"/>
        </w:rPr>
        <w:drawing>
          <wp:inline distT="0" distB="0" distL="0" distR="0">
            <wp:extent cx="8220075" cy="4095232"/>
            <wp:effectExtent l="19050" t="0" r="9525" b="0"/>
            <wp:docPr id="7"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3" cstate="print"/>
                    <a:srcRect/>
                    <a:stretch>
                      <a:fillRect/>
                    </a:stretch>
                  </pic:blipFill>
                  <pic:spPr bwMode="auto">
                    <a:xfrm>
                      <a:off x="0" y="0"/>
                      <a:ext cx="8220075" cy="4095232"/>
                    </a:xfrm>
                    <a:prstGeom prst="rect">
                      <a:avLst/>
                    </a:prstGeom>
                    <a:noFill/>
                    <a:ln w="9525">
                      <a:noFill/>
                      <a:miter lim="800000"/>
                      <a:headEnd/>
                      <a:tailEnd/>
                    </a:ln>
                  </pic:spPr>
                </pic:pic>
              </a:graphicData>
            </a:graphic>
          </wp:inline>
        </w:drawing>
      </w:r>
    </w:p>
    <w:p w:rsidR="00E075D4" w:rsidRDefault="00E075D4">
      <w:pPr>
        <w:jc w:val="center"/>
        <w:rPr>
          <w:color w:val="FF0000"/>
        </w:rPr>
        <w:sectPr w:rsidR="00E075D4">
          <w:type w:val="continuous"/>
          <w:pgSz w:w="15840" w:h="12240" w:orient="landscape"/>
          <w:pgMar w:top="1701" w:right="1418" w:bottom="1701" w:left="1418" w:header="709" w:footer="709" w:gutter="0"/>
          <w:cols w:space="708"/>
          <w:vAlign w:val="both"/>
          <w:docGrid w:linePitch="360"/>
        </w:sectPr>
      </w:pPr>
    </w:p>
    <w:p w:rsidR="00B74DED" w:rsidRDefault="00B74DED">
      <w:pPr>
        <w:jc w:val="center"/>
        <w:rPr>
          <w:color w:val="FF0000"/>
        </w:rPr>
      </w:pPr>
    </w:p>
    <w:p w:rsidR="00B74DED" w:rsidRDefault="00B74DED" w:rsidP="006C4C43">
      <w:pPr>
        <w:ind w:left="142"/>
        <w:jc w:val="center"/>
        <w:rPr>
          <w:color w:val="FF0000"/>
        </w:rPr>
      </w:pPr>
    </w:p>
    <w:p w:rsidR="00852557" w:rsidRDefault="00482FA5" w:rsidP="00E33D2F">
      <w:pPr>
        <w:rPr>
          <w:color w:val="FF0000"/>
          <w:lang w:val="es-MX"/>
        </w:rPr>
      </w:pPr>
      <w:r>
        <w:rPr>
          <w:noProof/>
          <w:color w:val="FF0000"/>
          <w:lang w:val="es-PE" w:eastAsia="es-PE"/>
        </w:rPr>
        <w:lastRenderedPageBreak/>
        <w:pict>
          <v:shape id="_x0000_s1158" type="#_x0000_t202" style="position:absolute;left:0;text-align:left;margin-left:5.35pt;margin-top:-22.35pt;width:65.85pt;height:24.35pt;z-index:251651584;mso-width-relative:margin;mso-height-relative:margin" stroked="f">
            <v:textbox style="mso-next-textbox:#_x0000_s1158">
              <w:txbxContent>
                <w:p w:rsidR="00DB53D8" w:rsidRDefault="00DB53D8">
                  <w:pPr>
                    <w:rPr>
                      <w:b/>
                      <w:sz w:val="20"/>
                      <w:szCs w:val="20"/>
                    </w:rPr>
                  </w:pPr>
                  <w:r w:rsidRPr="00F35EBE">
                    <w:rPr>
                      <w:b/>
                      <w:sz w:val="20"/>
                      <w:szCs w:val="20"/>
                    </w:rPr>
                    <w:t>ANEXO 8</w:t>
                  </w:r>
                </w:p>
              </w:txbxContent>
            </v:textbox>
          </v:shape>
        </w:pict>
      </w:r>
      <w:r w:rsidR="00034490" w:rsidRPr="00034490">
        <w:rPr>
          <w:color w:val="FF0000"/>
          <w:lang w:val="es-MX"/>
        </w:rPr>
        <w:t xml:space="preserve"> </w:t>
      </w:r>
      <w:r w:rsidR="00E075D4" w:rsidRPr="00E075D4">
        <w:rPr>
          <w:noProof/>
          <w:lang w:val="es-PE" w:eastAsia="es-PE"/>
        </w:rPr>
        <w:drawing>
          <wp:inline distT="0" distB="0" distL="0" distR="0">
            <wp:extent cx="8257540" cy="5153927"/>
            <wp:effectExtent l="19050" t="0" r="0" b="0"/>
            <wp:docPr id="8"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4" cstate="print"/>
                    <a:srcRect/>
                    <a:stretch>
                      <a:fillRect/>
                    </a:stretch>
                  </pic:blipFill>
                  <pic:spPr bwMode="auto">
                    <a:xfrm>
                      <a:off x="0" y="0"/>
                      <a:ext cx="8257540" cy="5153927"/>
                    </a:xfrm>
                    <a:prstGeom prst="rect">
                      <a:avLst/>
                    </a:prstGeom>
                    <a:noFill/>
                    <a:ln w="9525">
                      <a:noFill/>
                      <a:miter lim="800000"/>
                      <a:headEnd/>
                      <a:tailEnd/>
                    </a:ln>
                  </pic:spPr>
                </pic:pic>
              </a:graphicData>
            </a:graphic>
          </wp:inline>
        </w:drawing>
      </w:r>
    </w:p>
    <w:p w:rsidR="00852557" w:rsidRDefault="00852557">
      <w:pPr>
        <w:jc w:val="center"/>
        <w:sectPr w:rsidR="00852557">
          <w:type w:val="continuous"/>
          <w:pgSz w:w="15840" w:h="12240" w:orient="landscape"/>
          <w:pgMar w:top="1701" w:right="1418" w:bottom="1701" w:left="1418" w:header="709" w:footer="709" w:gutter="0"/>
          <w:cols w:space="708"/>
          <w:vAlign w:val="both"/>
          <w:docGrid w:linePitch="360"/>
        </w:sectPr>
      </w:pPr>
    </w:p>
    <w:p w:rsidR="00852557" w:rsidRDefault="00482FA5" w:rsidP="00897804">
      <w:pPr>
        <w:jc w:val="center"/>
      </w:pPr>
      <w:r>
        <w:rPr>
          <w:noProof/>
          <w:lang w:val="es-PE" w:eastAsia="es-PE"/>
        </w:rPr>
        <w:lastRenderedPageBreak/>
        <w:pict>
          <v:shape id="_x0000_s1167" type="#_x0000_t202" style="position:absolute;left:0;text-align:left;margin-left:-12.4pt;margin-top:-39.85pt;width:69.5pt;height:21.95pt;z-index:251660800;mso-width-relative:margin;mso-height-relative:margin" stroked="f">
            <v:textbox style="mso-next-textbox:#_x0000_s1167">
              <w:txbxContent>
                <w:p w:rsidR="00DB53D8" w:rsidRDefault="00DB53D8">
                  <w:pPr>
                    <w:rPr>
                      <w:b/>
                      <w:sz w:val="20"/>
                      <w:szCs w:val="16"/>
                    </w:rPr>
                  </w:pPr>
                  <w:r w:rsidRPr="00F35EBE">
                    <w:rPr>
                      <w:b/>
                      <w:sz w:val="20"/>
                      <w:szCs w:val="16"/>
                    </w:rPr>
                    <w:t>ANEXO 9</w:t>
                  </w:r>
                  <w:r>
                    <w:rPr>
                      <w:b/>
                      <w:sz w:val="20"/>
                      <w:szCs w:val="16"/>
                    </w:rPr>
                    <w:t xml:space="preserve">                                              </w:t>
                  </w:r>
                </w:p>
                <w:p w:rsidR="00DB53D8" w:rsidRDefault="00DB53D8">
                  <w:pPr>
                    <w:rPr>
                      <w:b/>
                      <w:szCs w:val="20"/>
                    </w:rPr>
                  </w:pPr>
                </w:p>
                <w:p w:rsidR="00DB53D8" w:rsidRDefault="00DB53D8">
                  <w:pPr>
                    <w:rPr>
                      <w:b/>
                      <w:szCs w:val="20"/>
                    </w:rPr>
                  </w:pPr>
                </w:p>
              </w:txbxContent>
            </v:textbox>
          </v:shape>
        </w:pict>
      </w:r>
      <w:r w:rsidR="00E075D4" w:rsidRPr="00E075D4">
        <w:rPr>
          <w:noProof/>
          <w:lang w:val="es-PE" w:eastAsia="es-PE"/>
        </w:rPr>
        <w:drawing>
          <wp:inline distT="0" distB="0" distL="0" distR="0">
            <wp:extent cx="8256650" cy="6191250"/>
            <wp:effectExtent l="1905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5" cstate="print"/>
                    <a:srcRect/>
                    <a:stretch>
                      <a:fillRect/>
                    </a:stretch>
                  </pic:blipFill>
                  <pic:spPr bwMode="auto">
                    <a:xfrm>
                      <a:off x="0" y="0"/>
                      <a:ext cx="8257540" cy="6191917"/>
                    </a:xfrm>
                    <a:prstGeom prst="rect">
                      <a:avLst/>
                    </a:prstGeom>
                    <a:noFill/>
                    <a:ln w="9525">
                      <a:noFill/>
                      <a:miter lim="800000"/>
                      <a:headEnd/>
                      <a:tailEnd/>
                    </a:ln>
                  </pic:spPr>
                </pic:pic>
              </a:graphicData>
            </a:graphic>
          </wp:inline>
        </w:drawing>
      </w:r>
    </w:p>
    <w:p w:rsidR="00200830" w:rsidRDefault="00482FA5" w:rsidP="00DB2E6D">
      <w:pPr>
        <w:jc w:val="left"/>
      </w:pPr>
      <w:r>
        <w:rPr>
          <w:noProof/>
          <w:lang w:val="es-PE" w:eastAsia="es-PE"/>
        </w:rPr>
        <w:lastRenderedPageBreak/>
        <w:pict>
          <v:shape id="_x0000_s100236" type="#_x0000_t202" style="position:absolute;margin-left:4.1pt;margin-top:-52.75pt;width:82pt;height:17.55pt;z-index:251752960;mso-width-relative:margin;mso-height-relative:margin" stroked="f">
            <v:textbox style="mso-next-textbox:#_x0000_s100236">
              <w:txbxContent>
                <w:p w:rsidR="00DB53D8" w:rsidRDefault="00DB53D8" w:rsidP="00897804">
                  <w:pPr>
                    <w:rPr>
                      <w:b/>
                      <w:sz w:val="20"/>
                      <w:szCs w:val="18"/>
                    </w:rPr>
                  </w:pPr>
                  <w:r w:rsidRPr="00F35EBE">
                    <w:rPr>
                      <w:b/>
                      <w:sz w:val="20"/>
                      <w:szCs w:val="18"/>
                    </w:rPr>
                    <w:t>ANEXO 10</w:t>
                  </w:r>
                  <w:r>
                    <w:rPr>
                      <w:b/>
                      <w:sz w:val="20"/>
                      <w:szCs w:val="18"/>
                    </w:rPr>
                    <w:t xml:space="preserve">                                                      </w:t>
                  </w:r>
                </w:p>
              </w:txbxContent>
            </v:textbox>
          </v:shape>
        </w:pict>
      </w:r>
      <w:r w:rsidR="00E075D4" w:rsidRPr="00E075D4">
        <w:rPr>
          <w:noProof/>
          <w:lang w:val="es-PE" w:eastAsia="es-PE"/>
        </w:rPr>
        <w:drawing>
          <wp:inline distT="0" distB="0" distL="0" distR="0">
            <wp:extent cx="8254195" cy="6267450"/>
            <wp:effectExtent l="19050" t="0" r="0" b="0"/>
            <wp:docPr id="9"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6" cstate="print"/>
                    <a:srcRect/>
                    <a:stretch>
                      <a:fillRect/>
                    </a:stretch>
                  </pic:blipFill>
                  <pic:spPr bwMode="auto">
                    <a:xfrm>
                      <a:off x="0" y="0"/>
                      <a:ext cx="8257540" cy="6269990"/>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414D84">
        <w:rPr>
          <w:b/>
          <w:sz w:val="20"/>
          <w:szCs w:val="20"/>
        </w:rPr>
        <w:t>ANEXO 11</w:t>
      </w:r>
    </w:p>
    <w:p w:rsidR="0084701F" w:rsidRDefault="0084701F">
      <w:pPr>
        <w:jc w:val="left"/>
      </w:pPr>
    </w:p>
    <w:p w:rsidR="00852557" w:rsidRPr="006940B1" w:rsidRDefault="00414D84"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414D84">
        <w:rPr>
          <w:noProof/>
          <w:lang w:val="es-PE" w:eastAsia="es-PE"/>
        </w:rPr>
        <w:drawing>
          <wp:inline distT="0" distB="0" distL="0" distR="0">
            <wp:extent cx="8257540" cy="3511644"/>
            <wp:effectExtent l="1905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67" cstate="print"/>
                    <a:srcRect/>
                    <a:stretch>
                      <a:fillRect/>
                    </a:stretch>
                  </pic:blipFill>
                  <pic:spPr bwMode="auto">
                    <a:xfrm>
                      <a:off x="0" y="0"/>
                      <a:ext cx="8257540" cy="3511644"/>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C403A1" w:rsidRDefault="00C403A1">
      <w:pPr>
        <w:rPr>
          <w:color w:val="FF0000"/>
          <w:lang w:val="es-MX"/>
        </w:rPr>
      </w:pPr>
    </w:p>
    <w:p w:rsidR="003F5375" w:rsidRDefault="00482FA5">
      <w:pPr>
        <w:rPr>
          <w:color w:val="FF0000"/>
          <w:lang w:val="es-MX"/>
        </w:rPr>
      </w:pPr>
      <w:r>
        <w:rPr>
          <w:noProof/>
          <w:color w:val="FF0000"/>
          <w:lang w:val="es-PE" w:eastAsia="es-PE"/>
        </w:rPr>
        <w:pict>
          <v:shape id="_x0000_s1160" type="#_x0000_t202" style="position:absolute;left:0;text-align:left;margin-left:-3.4pt;margin-top:-9.25pt;width:83.95pt;height:22.25pt;z-index:251653632;mso-width-relative:margin;mso-height-relative:margin" stroked="f">
            <v:textbox style="mso-next-textbox:#_x0000_s1160">
              <w:txbxContent>
                <w:p w:rsidR="00DB53D8" w:rsidRDefault="00DB53D8">
                  <w:pPr>
                    <w:rPr>
                      <w:b/>
                      <w:sz w:val="20"/>
                      <w:szCs w:val="20"/>
                    </w:rPr>
                  </w:pPr>
                  <w:r w:rsidRPr="00F35EBE">
                    <w:rPr>
                      <w:b/>
                      <w:sz w:val="20"/>
                      <w:szCs w:val="20"/>
                    </w:rPr>
                    <w:t>ANEXO 12</w:t>
                  </w:r>
                  <w:r>
                    <w:rPr>
                      <w:b/>
                      <w:sz w:val="20"/>
                      <w:szCs w:val="20"/>
                    </w:rPr>
                    <w:t xml:space="preserve">                             </w:t>
                  </w:r>
                </w:p>
              </w:txbxContent>
            </v:textbox>
          </v:shape>
        </w:pict>
      </w:r>
    </w:p>
    <w:p w:rsidR="00852557" w:rsidRDefault="00506EE8" w:rsidP="003474C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506EE8">
        <w:rPr>
          <w:noProof/>
          <w:lang w:val="es-PE" w:eastAsia="es-PE"/>
        </w:rPr>
        <w:drawing>
          <wp:inline distT="0" distB="0" distL="0" distR="0">
            <wp:extent cx="8257540" cy="4876295"/>
            <wp:effectExtent l="19050" t="0" r="0" b="0"/>
            <wp:docPr id="4"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8" cstate="print"/>
                    <a:srcRect/>
                    <a:stretch>
                      <a:fillRect/>
                    </a:stretch>
                  </pic:blipFill>
                  <pic:spPr bwMode="auto">
                    <a:xfrm>
                      <a:off x="0" y="0"/>
                      <a:ext cx="8257540" cy="4876295"/>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482FA5"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482FA5">
        <w:rPr>
          <w:noProof/>
          <w:lang w:val="es-PE" w:eastAsia="es-PE"/>
        </w:rPr>
        <w:lastRenderedPageBreak/>
        <w:pict>
          <v:shape id="_x0000_s100000" type="#_x0000_t202" style="position:absolute;left:0;text-align:left;margin-left:10.2pt;margin-top:-14.5pt;width:82.2pt;height:21.9pt;z-index:251723264;mso-width-relative:margin;mso-height-relative:margin" stroked="f">
            <v:textbox style="mso-next-textbox:#_x0000_s100000">
              <w:txbxContent>
                <w:p w:rsidR="00DB53D8" w:rsidRDefault="00DB53D8" w:rsidP="00DF47DC">
                  <w:pPr>
                    <w:rPr>
                      <w:b/>
                      <w:sz w:val="20"/>
                      <w:szCs w:val="20"/>
                    </w:rPr>
                  </w:pPr>
                  <w:r w:rsidRPr="00F35EBE">
                    <w:rPr>
                      <w:b/>
                      <w:sz w:val="20"/>
                      <w:szCs w:val="20"/>
                    </w:rPr>
                    <w:t>ANEXO 13</w:t>
                  </w:r>
                  <w:r>
                    <w:rPr>
                      <w:b/>
                      <w:sz w:val="20"/>
                      <w:szCs w:val="20"/>
                    </w:rPr>
                    <w:t xml:space="preserve">                                                                      </w:t>
                  </w:r>
                </w:p>
              </w:txbxContent>
            </v:textbox>
          </v:shape>
        </w:pict>
      </w:r>
      <w:r w:rsidR="00506EE8" w:rsidRPr="00506EE8">
        <w:rPr>
          <w:noProof/>
          <w:lang w:val="es-PE" w:eastAsia="es-PE"/>
        </w:rPr>
        <w:drawing>
          <wp:inline distT="0" distB="0" distL="0" distR="0">
            <wp:extent cx="8257540" cy="6052356"/>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9" cstate="print"/>
                    <a:srcRect/>
                    <a:stretch>
                      <a:fillRect/>
                    </a:stretch>
                  </pic:blipFill>
                  <pic:spPr bwMode="auto">
                    <a:xfrm>
                      <a:off x="0" y="0"/>
                      <a:ext cx="8257540" cy="6052356"/>
                    </a:xfrm>
                    <a:prstGeom prst="rect">
                      <a:avLst/>
                    </a:prstGeom>
                    <a:noFill/>
                    <a:ln w="9525">
                      <a:noFill/>
                      <a:miter lim="800000"/>
                      <a:headEnd/>
                      <a:tailEnd/>
                    </a:ln>
                  </pic:spPr>
                </pic:pic>
              </a:graphicData>
            </a:graphic>
          </wp:inline>
        </w:drawing>
      </w:r>
    </w:p>
    <w:p w:rsidR="00852557" w:rsidRDefault="00482FA5">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18.25pt;width:82.2pt;height:21.9pt;z-index:251655680;mso-width-relative:margin;mso-height-relative:margin" stroked="f">
            <v:textbox style="mso-next-textbox:#_x0000_s1162">
              <w:txbxContent>
                <w:p w:rsidR="00DB53D8" w:rsidRDefault="00DB53D8">
                  <w:pPr>
                    <w:rPr>
                      <w:b/>
                      <w:sz w:val="20"/>
                      <w:szCs w:val="20"/>
                    </w:rPr>
                  </w:pPr>
                  <w:r w:rsidRPr="00F35EBE">
                    <w:rPr>
                      <w:b/>
                      <w:sz w:val="20"/>
                      <w:szCs w:val="20"/>
                    </w:rPr>
                    <w:t>ANEXO 14</w:t>
                  </w:r>
                </w:p>
                <w:p w:rsidR="00DB53D8" w:rsidRDefault="00DB53D8">
                  <w:pPr>
                    <w:rPr>
                      <w:b/>
                      <w:sz w:val="20"/>
                      <w:szCs w:val="20"/>
                    </w:rPr>
                  </w:pPr>
                  <w:r>
                    <w:rPr>
                      <w:b/>
                      <w:sz w:val="20"/>
                      <w:szCs w:val="20"/>
                    </w:rPr>
                    <w:t xml:space="preserve">                                                                      </w:t>
                  </w:r>
                </w:p>
              </w:txbxContent>
            </v:textbox>
          </v:shape>
        </w:pict>
      </w:r>
      <w:r w:rsidR="00506EE8" w:rsidRPr="00506EE8">
        <w:rPr>
          <w:noProof/>
          <w:lang w:val="es-PE" w:eastAsia="es-PE"/>
        </w:rPr>
        <w:drawing>
          <wp:inline distT="0" distB="0" distL="0" distR="0">
            <wp:extent cx="8258175" cy="6187467"/>
            <wp:effectExtent l="1905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0" cstate="print"/>
                    <a:srcRect/>
                    <a:stretch>
                      <a:fillRect/>
                    </a:stretch>
                  </pic:blipFill>
                  <pic:spPr bwMode="auto">
                    <a:xfrm>
                      <a:off x="0" y="0"/>
                      <a:ext cx="8257540" cy="6186991"/>
                    </a:xfrm>
                    <a:prstGeom prst="rect">
                      <a:avLst/>
                    </a:prstGeom>
                    <a:noFill/>
                    <a:ln w="9525">
                      <a:noFill/>
                      <a:miter lim="800000"/>
                      <a:headEnd/>
                      <a:tailEnd/>
                    </a:ln>
                  </pic:spPr>
                </pic:pic>
              </a:graphicData>
            </a:graphic>
          </wp:inline>
        </w:drawing>
      </w:r>
    </w:p>
    <w:p w:rsidR="00852557" w:rsidRDefault="00482FA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DB53D8" w:rsidRDefault="00DB53D8">
                  <w:pPr>
                    <w:rPr>
                      <w:b/>
                      <w:sz w:val="20"/>
                      <w:szCs w:val="18"/>
                    </w:rPr>
                  </w:pPr>
                  <w:r w:rsidRPr="00F35EBE">
                    <w:rPr>
                      <w:b/>
                      <w:sz w:val="20"/>
                      <w:szCs w:val="18"/>
                    </w:rPr>
                    <w:t>ANEXO 15</w:t>
                  </w:r>
                </w:p>
                <w:p w:rsidR="00DB53D8" w:rsidRDefault="00DB53D8">
                  <w:pPr>
                    <w:rPr>
                      <w:b/>
                      <w:sz w:val="20"/>
                      <w:szCs w:val="18"/>
                    </w:rPr>
                  </w:pPr>
                </w:p>
                <w:p w:rsidR="00DB53D8" w:rsidRDefault="00DB53D8">
                  <w:pPr>
                    <w:rPr>
                      <w:b/>
                      <w:sz w:val="20"/>
                      <w:szCs w:val="18"/>
                    </w:rPr>
                  </w:pPr>
                  <w:r>
                    <w:rPr>
                      <w:b/>
                      <w:sz w:val="20"/>
                      <w:szCs w:val="18"/>
                    </w:rPr>
                    <w:t xml:space="preserve">                                                              </w:t>
                  </w:r>
                </w:p>
              </w:txbxContent>
            </v:textbox>
          </v:shape>
        </w:pict>
      </w:r>
      <w:r w:rsidR="00506EE8" w:rsidRPr="00506EE8">
        <w:rPr>
          <w:noProof/>
          <w:lang w:val="es-PE" w:eastAsia="es-PE"/>
        </w:rPr>
        <w:drawing>
          <wp:inline distT="0" distB="0" distL="0" distR="0">
            <wp:extent cx="8257540" cy="2632245"/>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1" cstate="print"/>
                    <a:srcRect/>
                    <a:stretch>
                      <a:fillRect/>
                    </a:stretch>
                  </pic:blipFill>
                  <pic:spPr bwMode="auto">
                    <a:xfrm>
                      <a:off x="0" y="0"/>
                      <a:ext cx="8257540" cy="2632245"/>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2"/>
          <w:footerReference w:type="default" r:id="rId173"/>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59" type="#_x0000_t75" style="width:84pt;height:34.5pt" o:ole="">
            <v:imagedata r:id="rId174" o:title=""/>
          </v:shape>
          <o:OLEObject Type="Embed" ProgID="Equation.3" ShapeID="_x0000_i1059" DrawAspect="Content" ObjectID="_1399363713" r:id="rId175"/>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76"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0" type="#_x0000_t75" style="width:198pt;height:187.5pt" o:ole="">
            <v:imagedata r:id="rId177" o:title=""/>
          </v:shape>
          <o:OLEObject Type="Embed" ProgID="Excel.Sheet.8" ShapeID="_x0000_i1060" DrawAspect="Content" ObjectID="_1399363714" r:id="rId178"/>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40E8" w:rsidRDefault="007940E8">
      <w:r>
        <w:separator/>
      </w:r>
    </w:p>
  </w:endnote>
  <w:endnote w:type="continuationSeparator" w:id="0">
    <w:p w:rsidR="007940E8" w:rsidRDefault="007940E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DB53D8" w:rsidRDefault="00DB53D8">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8</w:t>
    </w:r>
    <w:r>
      <w:rPr>
        <w:rStyle w:val="Nmerodepgina"/>
      </w:rPr>
      <w:fldChar w:fldCharType="end"/>
    </w:r>
  </w:p>
  <w:p w:rsidR="00DB53D8" w:rsidRDefault="00DB53D8">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9</w:t>
    </w:r>
    <w:r>
      <w:rPr>
        <w:rStyle w:val="Nmerodepgina"/>
      </w:rPr>
      <w:fldChar w:fldCharType="end"/>
    </w:r>
  </w:p>
  <w:p w:rsidR="00DB53D8" w:rsidRDefault="00DB53D8">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rsidR="00DB53D8" w:rsidRDefault="00DB53D8">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DB53D8" w:rsidRDefault="00DB53D8">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ind w:right="360"/>
      <w:rPr>
        <w:rStyle w:val="Nmerodepgina"/>
      </w:rPr>
    </w:pPr>
  </w:p>
  <w:p w:rsidR="00DB53D8" w:rsidRDefault="00DB53D8">
    <w:pPr>
      <w:pStyle w:val="Piedepgina"/>
      <w:ind w:right="360"/>
      <w:jc w:val="right"/>
    </w:pPr>
    <w:r>
      <w:rPr>
        <w:rStyle w:val="Nmerodepgina"/>
      </w:rPr>
      <w:fldChar w:fldCharType="begin"/>
    </w:r>
    <w:r>
      <w:rPr>
        <w:rStyle w:val="Nmerodepgina"/>
      </w:rPr>
      <w:instrText xml:space="preserve"> PAGE </w:instrText>
    </w:r>
    <w:r>
      <w:rPr>
        <w:rStyle w:val="Nmerodepgina"/>
      </w:rPr>
      <w:fldChar w:fldCharType="separate"/>
    </w:r>
    <w:r w:rsidR="00E21614">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DB5977" w:rsidRDefault="00DB53D8"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E21614">
      <w:rPr>
        <w:rStyle w:val="Nmerodepgina"/>
        <w:noProof/>
      </w:rPr>
      <w:t>14</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22</w:t>
    </w:r>
    <w:r>
      <w:rPr>
        <w:rStyle w:val="Nmerodepgina"/>
      </w:rPr>
      <w:fldChar w:fldCharType="end"/>
    </w:r>
  </w:p>
  <w:p w:rsidR="00DB53D8" w:rsidRDefault="00DB53D8">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fldSimple w:instr=" PAGE   \* MERGEFORMAT ">
      <w:r w:rsidR="0011150B">
        <w:rPr>
          <w:noProof/>
        </w:rPr>
        <w:t>2</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E21614">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p>
  <w:p w:rsidR="00DB53D8" w:rsidRDefault="00DB53D8">
    <w:pPr>
      <w:pStyle w:val="Piedepgina"/>
      <w:ind w:right="360"/>
      <w:jc w:val="right"/>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24</w:t>
    </w:r>
    <w:r>
      <w:rPr>
        <w:rStyle w:val="Nmerodepgina"/>
      </w:rPr>
      <w:fldChar w:fldCharType="end"/>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E21614">
      <w:rPr>
        <w:rStyle w:val="Nmerodepgina"/>
        <w:noProof/>
      </w:rPr>
      <w:t>24</w:t>
    </w:r>
    <w:r>
      <w:rPr>
        <w:rStyle w:val="Nmerodepgina"/>
      </w:rPr>
      <w:fldChar w:fldCharType="end"/>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25</w:t>
    </w:r>
    <w:r>
      <w:rPr>
        <w:rStyle w:val="Nmerodepgina"/>
      </w:rPr>
      <w:fldChar w:fldCharType="end"/>
    </w:r>
  </w:p>
  <w:p w:rsidR="00DB53D8" w:rsidRDefault="00DB53D8">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27</w:t>
    </w:r>
    <w:r>
      <w:rPr>
        <w:rStyle w:val="Nmerodepgina"/>
      </w:rPr>
      <w:fldChar w:fldCharType="end"/>
    </w:r>
  </w:p>
  <w:p w:rsidR="00DB53D8" w:rsidRDefault="00DB53D8"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28</w:t>
    </w:r>
    <w:r>
      <w:rPr>
        <w:rStyle w:val="Nmerodepgina"/>
      </w:rPr>
      <w:fldChar w:fldCharType="end"/>
    </w:r>
  </w:p>
  <w:p w:rsidR="00DB53D8" w:rsidRDefault="00DB53D8">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28</w:t>
    </w:r>
    <w:r>
      <w:rPr>
        <w:rStyle w:val="Nmerodepgina"/>
      </w:rPr>
      <w:fldChar w:fldCharType="end"/>
    </w:r>
  </w:p>
  <w:p w:rsidR="00DB53D8" w:rsidRDefault="00DB53D8">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6B2E1E">
    <w:pPr>
      <w:pStyle w:val="Piedepgina"/>
      <w:framePr w:wrap="around" w:vAnchor="text" w:hAnchor="page" w:x="14356" w:y="145"/>
      <w:rPr>
        <w:rStyle w:val="Nmerodepgina"/>
      </w:rPr>
    </w:pPr>
    <w:r>
      <w:rPr>
        <w:rStyle w:val="Nmerodepgina"/>
      </w:rPr>
      <w:fldChar w:fldCharType="begin"/>
    </w:r>
    <w:r>
      <w:rPr>
        <w:rStyle w:val="Nmerodepgina"/>
      </w:rPr>
      <w:instrText xml:space="preserve">PAGE  </w:instrText>
    </w:r>
    <w:r>
      <w:rPr>
        <w:rStyle w:val="Nmerodepgina"/>
      </w:rPr>
      <w:fldChar w:fldCharType="separate"/>
    </w:r>
    <w:r w:rsidR="00E21614">
      <w:rPr>
        <w:rStyle w:val="Nmerodepgina"/>
        <w:noProof/>
      </w:rPr>
      <w:t>31</w:t>
    </w:r>
    <w:r>
      <w:rPr>
        <w:rStyle w:val="Nmerodepgina"/>
      </w:rPr>
      <w:fldChar w:fldCharType="end"/>
    </w:r>
  </w:p>
  <w:p w:rsidR="00DB53D8" w:rsidRDefault="00DB53D8">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51199">
      <w:rPr>
        <w:rStyle w:val="Nmerodepgina"/>
        <w:noProof/>
      </w:rPr>
      <w:t>44</w:t>
    </w:r>
    <w:r>
      <w:rPr>
        <w:rStyle w:val="Nmerodepgina"/>
      </w:rPr>
      <w:fldChar w:fldCharType="end"/>
    </w:r>
  </w:p>
  <w:p w:rsidR="00DB53D8" w:rsidRDefault="00DB53D8">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11150B">
      <w:rPr>
        <w:noProof/>
        <w:snapToGrid w:val="0"/>
      </w:rPr>
      <w:t>3</w:t>
    </w:r>
    <w:r>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sidR="0066613A">
      <w:rPr>
        <w:noProof/>
        <w:snapToGrid w:val="0"/>
      </w:rPr>
      <w:t>4</w:t>
    </w:r>
    <w:r>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DB5977">
    <w:pPr>
      <w:pStyle w:val="Piedepgina"/>
      <w:jc w:val="right"/>
    </w:pPr>
    <w:r>
      <w:rPr>
        <w:snapToGrid w:val="0"/>
      </w:rPr>
      <w:fldChar w:fldCharType="begin"/>
    </w:r>
    <w:r>
      <w:rPr>
        <w:snapToGrid w:val="0"/>
      </w:rPr>
      <w:instrText xml:space="preserve"> PAGE </w:instrText>
    </w:r>
    <w:r>
      <w:rPr>
        <w:snapToGrid w:val="0"/>
      </w:rPr>
      <w:fldChar w:fldCharType="separate"/>
    </w:r>
    <w:r w:rsidR="0011150B">
      <w:rPr>
        <w:noProof/>
        <w:snapToGrid w:val="0"/>
      </w:rPr>
      <w:t>4</w:t>
    </w:r>
    <w:r>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E21614">
      <w:rPr>
        <w:noProof/>
        <w:snapToGrid w:val="0"/>
      </w:rPr>
      <w:t>6</w:t>
    </w:r>
    <w:r>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Piedepgina"/>
      <w:jc w:val="right"/>
    </w:pPr>
    <w:fldSimple w:instr=" PAGE   \* MERGEFORMAT ">
      <w:r w:rsidR="00E21614">
        <w:rPr>
          <w:noProof/>
        </w:rPr>
        <w:t>7</w:t>
      </w:r>
    </w:fldSimple>
  </w:p>
  <w:p w:rsidR="00DB53D8" w:rsidRDefault="00DB53D8">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40E8" w:rsidRDefault="007940E8">
      <w:r>
        <w:separator/>
      </w:r>
    </w:p>
  </w:footnote>
  <w:footnote w:type="continuationSeparator" w:id="0">
    <w:p w:rsidR="007940E8" w:rsidRDefault="007940E8">
      <w:r>
        <w:continuationSeparator/>
      </w:r>
    </w:p>
  </w:footnote>
  <w:footnote w:id="1">
    <w:p w:rsidR="00DB53D8" w:rsidRDefault="00DB53D8">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Marzo 2012</w:t>
    </w:r>
  </w:p>
  <w:p w:rsidR="00DB53D8" w:rsidRDefault="00DB53D8">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rsidP="0017506B">
    <w:pPr>
      <w:pStyle w:val="Encabezado"/>
      <w:rPr>
        <w:i/>
      </w:rPr>
    </w:pPr>
    <w:r>
      <w:rPr>
        <w:i/>
      </w:rPr>
      <w:t>Síntesis Económica de Piura Marz</w:t>
    </w:r>
    <w:r w:rsidRPr="00AB65C9">
      <w:rPr>
        <w:i/>
      </w:rPr>
      <w:t>o 2012</w:t>
    </w:r>
  </w:p>
  <w:p w:rsidR="00DB53D8" w:rsidRDefault="00DB53D8"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pPr>
    <w:r>
      <w:tab/>
      <w:t>Síntesis Económica de Piura Octubre  2009</w:t>
    </w:r>
  </w:p>
  <w:p w:rsidR="00DB53D8" w:rsidRDefault="00DB53D8" w:rsidP="00253F18">
    <w:pPr>
      <w:pStyle w:val="Encabezado"/>
    </w:pPr>
  </w:p>
  <w:p w:rsidR="00DB53D8" w:rsidRDefault="00DB53D8"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rsidP="0017506B">
    <w:pPr>
      <w:pStyle w:val="Encabezado"/>
      <w:rPr>
        <w:i/>
      </w:rPr>
    </w:pPr>
    <w:r>
      <w:rPr>
        <w:i/>
      </w:rPr>
      <w:t>Síntesis Económica de Piura Marz</w:t>
    </w:r>
    <w:r w:rsidRPr="00AB65C9">
      <w:rPr>
        <w:i/>
      </w:rPr>
      <w:t>o 2012</w:t>
    </w:r>
  </w:p>
  <w:p w:rsidR="00DB53D8" w:rsidRDefault="00DB53D8"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rsidP="0017506B">
    <w:pPr>
      <w:pStyle w:val="Encabezado"/>
      <w:rPr>
        <w:i/>
      </w:rPr>
    </w:pPr>
    <w:r>
      <w:rPr>
        <w:i/>
      </w:rPr>
      <w:t>Síntesis Económica de Piura Marz</w:t>
    </w:r>
    <w:r w:rsidRPr="00AB65C9">
      <w:rPr>
        <w:i/>
      </w:rPr>
      <w:t>o 2012</w:t>
    </w:r>
  </w:p>
  <w:p w:rsidR="00DB53D8" w:rsidRPr="00B54CAE" w:rsidRDefault="00DB53D8" w:rsidP="00392AF3">
    <w:pPr>
      <w:pStyle w:val="Encabezado"/>
      <w:rPr>
        <w:i/>
      </w:rPr>
    </w:pPr>
  </w:p>
  <w:p w:rsidR="00DB53D8" w:rsidRDefault="00DB53D8"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B54CAE" w:rsidRDefault="00DB53D8" w:rsidP="0017506B">
    <w:pPr>
      <w:pStyle w:val="Encabezado"/>
      <w:rPr>
        <w:i/>
      </w:rPr>
    </w:pPr>
    <w:r>
      <w:t xml:space="preserve">    </w:t>
    </w:r>
    <w:r>
      <w:rPr>
        <w:i/>
      </w:rPr>
      <w:t>Síntesis Económica de Piura Marz</w:t>
    </w:r>
    <w:r w:rsidRPr="00AB65C9">
      <w:rPr>
        <w:i/>
      </w:rPr>
      <w:t>o 2012</w:t>
    </w:r>
  </w:p>
  <w:p w:rsidR="00DB53D8" w:rsidRDefault="00DB53D8" w:rsidP="00253F18">
    <w:pPr>
      <w:pStyle w:val="Encabezado"/>
    </w:pPr>
  </w:p>
  <w:p w:rsidR="00DB53D8" w:rsidRDefault="00DB53D8" w:rsidP="00253F18">
    <w:pPr>
      <w:pStyle w:val="Encabezado"/>
    </w:pPr>
  </w:p>
  <w:p w:rsidR="00DB53D8" w:rsidRDefault="00DB53D8"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B54CAE" w:rsidRDefault="00DB53D8" w:rsidP="00253F18">
    <w:pPr>
      <w:pStyle w:val="Encabezado"/>
      <w:rPr>
        <w:i/>
      </w:rPr>
    </w:pPr>
    <w:r>
      <w:rPr>
        <w:i/>
      </w:rPr>
      <w:t>Síntesis Económica de Piura Marzo</w:t>
    </w:r>
    <w:r w:rsidRPr="00B54CAE">
      <w:rPr>
        <w:i/>
      </w:rPr>
      <w:t xml:space="preserve"> 201</w:t>
    </w:r>
    <w:r>
      <w:rPr>
        <w:i/>
      </w:rPr>
      <w:t>2</w:t>
    </w:r>
  </w:p>
  <w:p w:rsidR="00DB53D8" w:rsidRDefault="00DB53D8"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B54CAE" w:rsidRDefault="00DB53D8" w:rsidP="00253F18">
    <w:pPr>
      <w:pStyle w:val="Encabezado"/>
      <w:rPr>
        <w:i/>
      </w:rPr>
    </w:pPr>
    <w:r w:rsidRPr="00B54CAE">
      <w:rPr>
        <w:i/>
      </w:rPr>
      <w:t xml:space="preserve">Síntesis Económica de Piura </w:t>
    </w:r>
    <w:r>
      <w:rPr>
        <w:i/>
      </w:rPr>
      <w:t>Marzo</w:t>
    </w:r>
    <w:r w:rsidRPr="00B54CAE">
      <w:rPr>
        <w:i/>
      </w:rPr>
      <w:t xml:space="preserve"> 201</w:t>
    </w:r>
    <w:r>
      <w:rPr>
        <w:i/>
      </w:rPr>
      <w:t>2</w:t>
    </w:r>
  </w:p>
  <w:p w:rsidR="00DB53D8" w:rsidRDefault="00DB53D8"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4432DE" w:rsidRDefault="00DB53D8" w:rsidP="00CD44C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Encabezado"/>
      <w:rPr>
        <w:lang w:val="es-PE"/>
      </w:rPr>
    </w:pPr>
  </w:p>
  <w:p w:rsidR="00DB53D8" w:rsidRPr="00253F18" w:rsidRDefault="00DB53D8">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443DB8" w:rsidRDefault="00DB53D8" w:rsidP="00253F18">
    <w:pPr>
      <w:pStyle w:val="Encabezado"/>
      <w:rPr>
        <w:i/>
      </w:rPr>
    </w:pPr>
    <w:r w:rsidRPr="00443DB8">
      <w:rPr>
        <w:i/>
      </w:rPr>
      <w:t xml:space="preserve">Síntesis Económica de Piura </w:t>
    </w:r>
    <w:r>
      <w:rPr>
        <w:i/>
      </w:rPr>
      <w:t>Febrero</w:t>
    </w:r>
    <w:r w:rsidRPr="00443DB8">
      <w:rPr>
        <w:i/>
      </w:rPr>
      <w:t xml:space="preserve">  20</w:t>
    </w:r>
    <w:r>
      <w:rPr>
        <w:i/>
      </w:rPr>
      <w:t>12</w:t>
    </w:r>
  </w:p>
  <w:p w:rsidR="00DB53D8" w:rsidRDefault="00DB53D8"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Marzo2012</w:t>
    </w:r>
  </w:p>
  <w:p w:rsidR="00DB53D8" w:rsidRDefault="00DB53D8"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Marzo 2012</w:t>
    </w:r>
  </w:p>
  <w:p w:rsidR="00DB53D8" w:rsidRDefault="00DB53D8"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pPr>
      <w:pStyle w:val="Encabezado"/>
      <w:rPr>
        <w:i/>
      </w:rPr>
    </w:pPr>
    <w:r>
      <w:rPr>
        <w:i/>
      </w:rPr>
      <w:t>Síntesis Económica de Piura Marzo  2012</w:t>
    </w:r>
  </w:p>
  <w:p w:rsidR="00DB53D8" w:rsidRDefault="00DB53D8">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Enero  2012</w:t>
    </w:r>
  </w:p>
  <w:p w:rsidR="00DB53D8" w:rsidRDefault="00DB53D8"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Marzo 2012</w:t>
    </w:r>
  </w:p>
  <w:p w:rsidR="00DB53D8" w:rsidRDefault="00DB53D8" w:rsidP="00253F18">
    <w:pPr>
      <w:pStyle w:val="Encabezado"/>
    </w:pPr>
  </w:p>
  <w:p w:rsidR="00DB53D8" w:rsidRDefault="00DB53D8"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Marzo 2012</w:t>
    </w:r>
  </w:p>
  <w:p w:rsidR="00DB53D8" w:rsidRDefault="00DB53D8"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DF681A" w:rsidRDefault="00DB53D8" w:rsidP="00253F18">
    <w:pPr>
      <w:pStyle w:val="Encabezado"/>
      <w:rPr>
        <w:i/>
      </w:rPr>
    </w:pPr>
    <w:r>
      <w:t xml:space="preserve">  </w:t>
    </w:r>
    <w:r w:rsidRPr="00DF681A">
      <w:rPr>
        <w:i/>
      </w:rPr>
      <w:t xml:space="preserve">Síntesis Económica de Piura </w:t>
    </w:r>
    <w:r>
      <w:rPr>
        <w:i/>
      </w:rPr>
      <w:t>Marzo  2012</w:t>
    </w:r>
  </w:p>
  <w:p w:rsidR="00DB53D8" w:rsidRDefault="00DB53D8" w:rsidP="00253F18">
    <w:pPr>
      <w:pStyle w:val="Encabezado"/>
    </w:pPr>
  </w:p>
  <w:p w:rsidR="00DB53D8" w:rsidRDefault="00DB53D8" w:rsidP="00253F18">
    <w:pPr>
      <w:pStyle w:val="Encabezado"/>
    </w:pPr>
  </w:p>
  <w:p w:rsidR="00DB53D8" w:rsidRDefault="00DB53D8"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rPr>
        <w:i/>
      </w:rPr>
    </w:pPr>
    <w:r>
      <w:rPr>
        <w:i/>
      </w:rPr>
      <w:t>Síntesis Económica de Piura Marzo 2012</w:t>
    </w:r>
  </w:p>
  <w:p w:rsidR="00DB53D8" w:rsidRDefault="00DB53D8">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Default="00DB53D8"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07511F" w:rsidRDefault="00DB53D8"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pPr>
      <w:pStyle w:val="Encabezado"/>
      <w:rPr>
        <w:i/>
      </w:rPr>
    </w:pPr>
    <w:r>
      <w:rPr>
        <w:i/>
      </w:rPr>
      <w:t>Síntesis Económica de Piura Marz</w:t>
    </w:r>
    <w:r w:rsidRPr="00AB65C9">
      <w:rPr>
        <w:i/>
      </w:rPr>
      <w:t>o 2012</w:t>
    </w:r>
  </w:p>
  <w:p w:rsidR="00DB53D8" w:rsidRDefault="00DB53D8"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rsidP="0017506B">
    <w:pPr>
      <w:pStyle w:val="Encabezado"/>
      <w:rPr>
        <w:i/>
      </w:rPr>
    </w:pPr>
    <w:r>
      <w:rPr>
        <w:i/>
      </w:rPr>
      <w:t>Síntesis Económica de Piura Marz</w:t>
    </w:r>
    <w:r w:rsidRPr="00AB65C9">
      <w:rPr>
        <w:i/>
      </w:rPr>
      <w:t>o 2012</w:t>
    </w:r>
  </w:p>
  <w:p w:rsidR="00DB53D8" w:rsidRDefault="00DB53D8"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rsidP="0017506B">
    <w:pPr>
      <w:pStyle w:val="Encabezado"/>
      <w:rPr>
        <w:i/>
      </w:rPr>
    </w:pPr>
    <w:r>
      <w:rPr>
        <w:i/>
      </w:rPr>
      <w:t>Síntesis Económica de Piura Marzo</w:t>
    </w:r>
    <w:r w:rsidRPr="00AB65C9">
      <w:rPr>
        <w:i/>
      </w:rPr>
      <w:t xml:space="preserve"> 2012</w:t>
    </w:r>
  </w:p>
  <w:p w:rsidR="00DB53D8" w:rsidRDefault="00DB53D8"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3D8" w:rsidRPr="00AB65C9" w:rsidRDefault="00DB53D8" w:rsidP="0017506B">
    <w:pPr>
      <w:pStyle w:val="Encabezado"/>
      <w:rPr>
        <w:i/>
      </w:rPr>
    </w:pPr>
    <w:r>
      <w:rPr>
        <w:i/>
      </w:rPr>
      <w:t>Síntesis Económica de Piura Marz</w:t>
    </w:r>
    <w:r w:rsidRPr="00AB65C9">
      <w:rPr>
        <w:i/>
      </w:rPr>
      <w:t>o 2012</w:t>
    </w:r>
  </w:p>
  <w:p w:rsidR="00DB53D8" w:rsidRDefault="00DB53D8"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251906">
      <o:colormenu v:ext="edit" strokecolor="none"/>
    </o:shapedefaults>
  </w:hdrShapeDefaults>
  <w:footnotePr>
    <w:footnote w:id="-1"/>
    <w:footnote w:id="0"/>
  </w:footnotePr>
  <w:endnotePr>
    <w:endnote w:id="-1"/>
    <w:endnote w:id="0"/>
  </w:endnotePr>
  <w:compat/>
  <w:rsids>
    <w:rsidRoot w:val="00317274"/>
    <w:rsid w:val="000006EB"/>
    <w:rsid w:val="00003F85"/>
    <w:rsid w:val="00005AF1"/>
    <w:rsid w:val="00005AFD"/>
    <w:rsid w:val="00011A40"/>
    <w:rsid w:val="0002010A"/>
    <w:rsid w:val="00020C5A"/>
    <w:rsid w:val="00021C48"/>
    <w:rsid w:val="00022B17"/>
    <w:rsid w:val="00024075"/>
    <w:rsid w:val="000271A9"/>
    <w:rsid w:val="000319BC"/>
    <w:rsid w:val="00031C43"/>
    <w:rsid w:val="00034490"/>
    <w:rsid w:val="00035D28"/>
    <w:rsid w:val="00037F5B"/>
    <w:rsid w:val="000414D8"/>
    <w:rsid w:val="00041EEA"/>
    <w:rsid w:val="00045694"/>
    <w:rsid w:val="000458D5"/>
    <w:rsid w:val="000540B7"/>
    <w:rsid w:val="00054AAC"/>
    <w:rsid w:val="00055928"/>
    <w:rsid w:val="00060440"/>
    <w:rsid w:val="00061BF1"/>
    <w:rsid w:val="00063236"/>
    <w:rsid w:val="00065132"/>
    <w:rsid w:val="000655B4"/>
    <w:rsid w:val="00066EF9"/>
    <w:rsid w:val="0007002A"/>
    <w:rsid w:val="000706A7"/>
    <w:rsid w:val="000711CB"/>
    <w:rsid w:val="00072E3C"/>
    <w:rsid w:val="000746D5"/>
    <w:rsid w:val="0007511F"/>
    <w:rsid w:val="0007754A"/>
    <w:rsid w:val="000803B1"/>
    <w:rsid w:val="0008127B"/>
    <w:rsid w:val="00081A8C"/>
    <w:rsid w:val="00081AA1"/>
    <w:rsid w:val="00083071"/>
    <w:rsid w:val="00083232"/>
    <w:rsid w:val="0008391D"/>
    <w:rsid w:val="00083A53"/>
    <w:rsid w:val="00084CFA"/>
    <w:rsid w:val="000865D1"/>
    <w:rsid w:val="00087042"/>
    <w:rsid w:val="00090DE0"/>
    <w:rsid w:val="000910F0"/>
    <w:rsid w:val="00092396"/>
    <w:rsid w:val="00093345"/>
    <w:rsid w:val="00094770"/>
    <w:rsid w:val="00096BB9"/>
    <w:rsid w:val="000979CC"/>
    <w:rsid w:val="000A5747"/>
    <w:rsid w:val="000A5939"/>
    <w:rsid w:val="000A61A7"/>
    <w:rsid w:val="000A6B8A"/>
    <w:rsid w:val="000B0AFA"/>
    <w:rsid w:val="000B0C0B"/>
    <w:rsid w:val="000B0ED6"/>
    <w:rsid w:val="000B0FF8"/>
    <w:rsid w:val="000B1811"/>
    <w:rsid w:val="000B2256"/>
    <w:rsid w:val="000B312D"/>
    <w:rsid w:val="000B46E9"/>
    <w:rsid w:val="000B659B"/>
    <w:rsid w:val="000B72FD"/>
    <w:rsid w:val="000C33D4"/>
    <w:rsid w:val="000C45A7"/>
    <w:rsid w:val="000C7CD7"/>
    <w:rsid w:val="000D03DD"/>
    <w:rsid w:val="000D0430"/>
    <w:rsid w:val="000D1039"/>
    <w:rsid w:val="000D3447"/>
    <w:rsid w:val="000D5057"/>
    <w:rsid w:val="000D5807"/>
    <w:rsid w:val="000D5F4F"/>
    <w:rsid w:val="000D7A92"/>
    <w:rsid w:val="000E2291"/>
    <w:rsid w:val="000E32E0"/>
    <w:rsid w:val="000E48B0"/>
    <w:rsid w:val="000F3E1A"/>
    <w:rsid w:val="000F66B2"/>
    <w:rsid w:val="00100434"/>
    <w:rsid w:val="00102682"/>
    <w:rsid w:val="001034E7"/>
    <w:rsid w:val="00103975"/>
    <w:rsid w:val="0010493D"/>
    <w:rsid w:val="001049D8"/>
    <w:rsid w:val="00104C7C"/>
    <w:rsid w:val="00104EBB"/>
    <w:rsid w:val="0011080F"/>
    <w:rsid w:val="0011150B"/>
    <w:rsid w:val="00115098"/>
    <w:rsid w:val="00121505"/>
    <w:rsid w:val="001217E4"/>
    <w:rsid w:val="001240D6"/>
    <w:rsid w:val="001246BE"/>
    <w:rsid w:val="00124A56"/>
    <w:rsid w:val="00124F05"/>
    <w:rsid w:val="00126019"/>
    <w:rsid w:val="001263E0"/>
    <w:rsid w:val="001302BB"/>
    <w:rsid w:val="0013050A"/>
    <w:rsid w:val="00130FC0"/>
    <w:rsid w:val="001317A0"/>
    <w:rsid w:val="00132636"/>
    <w:rsid w:val="00133ACC"/>
    <w:rsid w:val="00136735"/>
    <w:rsid w:val="00137FE2"/>
    <w:rsid w:val="001414E7"/>
    <w:rsid w:val="00142340"/>
    <w:rsid w:val="00143142"/>
    <w:rsid w:val="00143594"/>
    <w:rsid w:val="00146CCF"/>
    <w:rsid w:val="00152640"/>
    <w:rsid w:val="00153DDC"/>
    <w:rsid w:val="00156426"/>
    <w:rsid w:val="001615FD"/>
    <w:rsid w:val="00161C19"/>
    <w:rsid w:val="00162C63"/>
    <w:rsid w:val="00164E59"/>
    <w:rsid w:val="00164E67"/>
    <w:rsid w:val="00165A89"/>
    <w:rsid w:val="00165FDA"/>
    <w:rsid w:val="00167108"/>
    <w:rsid w:val="00170B3C"/>
    <w:rsid w:val="0017100C"/>
    <w:rsid w:val="00171B10"/>
    <w:rsid w:val="001723BF"/>
    <w:rsid w:val="00173855"/>
    <w:rsid w:val="00174C80"/>
    <w:rsid w:val="0017506B"/>
    <w:rsid w:val="001779EE"/>
    <w:rsid w:val="0018005A"/>
    <w:rsid w:val="00180985"/>
    <w:rsid w:val="00180C2D"/>
    <w:rsid w:val="00180D9B"/>
    <w:rsid w:val="00181F6C"/>
    <w:rsid w:val="00182226"/>
    <w:rsid w:val="001834B9"/>
    <w:rsid w:val="00184069"/>
    <w:rsid w:val="001843F3"/>
    <w:rsid w:val="00187E7A"/>
    <w:rsid w:val="0019373C"/>
    <w:rsid w:val="001965C4"/>
    <w:rsid w:val="00196EFE"/>
    <w:rsid w:val="001A39A8"/>
    <w:rsid w:val="001A39D0"/>
    <w:rsid w:val="001A4068"/>
    <w:rsid w:val="001B09BA"/>
    <w:rsid w:val="001B4EE1"/>
    <w:rsid w:val="001B5371"/>
    <w:rsid w:val="001C30D2"/>
    <w:rsid w:val="001C335B"/>
    <w:rsid w:val="001C3764"/>
    <w:rsid w:val="001D065E"/>
    <w:rsid w:val="001D219A"/>
    <w:rsid w:val="001D42EB"/>
    <w:rsid w:val="001D6CBE"/>
    <w:rsid w:val="001D7E3C"/>
    <w:rsid w:val="001E30D9"/>
    <w:rsid w:val="001F1DAB"/>
    <w:rsid w:val="001F23F5"/>
    <w:rsid w:val="001F2864"/>
    <w:rsid w:val="001F37F0"/>
    <w:rsid w:val="001F53A6"/>
    <w:rsid w:val="001F5F50"/>
    <w:rsid w:val="001F6271"/>
    <w:rsid w:val="001F697C"/>
    <w:rsid w:val="001F6ADC"/>
    <w:rsid w:val="001F7E1E"/>
    <w:rsid w:val="00200830"/>
    <w:rsid w:val="00200F61"/>
    <w:rsid w:val="00207D85"/>
    <w:rsid w:val="00207E7C"/>
    <w:rsid w:val="002107AE"/>
    <w:rsid w:val="0021270B"/>
    <w:rsid w:val="00214BC3"/>
    <w:rsid w:val="00216839"/>
    <w:rsid w:val="00216A75"/>
    <w:rsid w:val="00216CDD"/>
    <w:rsid w:val="00217541"/>
    <w:rsid w:val="00224122"/>
    <w:rsid w:val="0022668E"/>
    <w:rsid w:val="00227237"/>
    <w:rsid w:val="0023031E"/>
    <w:rsid w:val="00230F26"/>
    <w:rsid w:val="00231A2E"/>
    <w:rsid w:val="0023296E"/>
    <w:rsid w:val="002338C2"/>
    <w:rsid w:val="002339A6"/>
    <w:rsid w:val="00234A64"/>
    <w:rsid w:val="00235AC7"/>
    <w:rsid w:val="00236746"/>
    <w:rsid w:val="00237060"/>
    <w:rsid w:val="00237F82"/>
    <w:rsid w:val="00247CFD"/>
    <w:rsid w:val="00247D2D"/>
    <w:rsid w:val="0025185B"/>
    <w:rsid w:val="00253F18"/>
    <w:rsid w:val="00255E25"/>
    <w:rsid w:val="002560B5"/>
    <w:rsid w:val="0025752E"/>
    <w:rsid w:val="002667FB"/>
    <w:rsid w:val="00267811"/>
    <w:rsid w:val="00267F59"/>
    <w:rsid w:val="002724C9"/>
    <w:rsid w:val="00274158"/>
    <w:rsid w:val="002745B2"/>
    <w:rsid w:val="00274817"/>
    <w:rsid w:val="00276CEE"/>
    <w:rsid w:val="002817B4"/>
    <w:rsid w:val="00282C48"/>
    <w:rsid w:val="00283A13"/>
    <w:rsid w:val="00283FAF"/>
    <w:rsid w:val="002873D0"/>
    <w:rsid w:val="00290A92"/>
    <w:rsid w:val="0029442F"/>
    <w:rsid w:val="00294D9F"/>
    <w:rsid w:val="002A14B6"/>
    <w:rsid w:val="002A165E"/>
    <w:rsid w:val="002A3CA0"/>
    <w:rsid w:val="002A467B"/>
    <w:rsid w:val="002A5663"/>
    <w:rsid w:val="002A69F6"/>
    <w:rsid w:val="002B28EB"/>
    <w:rsid w:val="002B5C33"/>
    <w:rsid w:val="002B6215"/>
    <w:rsid w:val="002B73C1"/>
    <w:rsid w:val="002B7EE6"/>
    <w:rsid w:val="002C0BCE"/>
    <w:rsid w:val="002C277E"/>
    <w:rsid w:val="002C4847"/>
    <w:rsid w:val="002C7986"/>
    <w:rsid w:val="002D08BC"/>
    <w:rsid w:val="002D1C24"/>
    <w:rsid w:val="002D1CB3"/>
    <w:rsid w:val="002D38A2"/>
    <w:rsid w:val="002D5842"/>
    <w:rsid w:val="002E1C48"/>
    <w:rsid w:val="002E351C"/>
    <w:rsid w:val="002E39DD"/>
    <w:rsid w:val="002E3F59"/>
    <w:rsid w:val="002E524C"/>
    <w:rsid w:val="002E72E7"/>
    <w:rsid w:val="002F07B5"/>
    <w:rsid w:val="002F0DBF"/>
    <w:rsid w:val="002F0DD4"/>
    <w:rsid w:val="002F1E9F"/>
    <w:rsid w:val="002F3A24"/>
    <w:rsid w:val="002F3F15"/>
    <w:rsid w:val="002F5175"/>
    <w:rsid w:val="002F553A"/>
    <w:rsid w:val="002F6FEA"/>
    <w:rsid w:val="002F7F3B"/>
    <w:rsid w:val="00300EF8"/>
    <w:rsid w:val="003017E5"/>
    <w:rsid w:val="003074D8"/>
    <w:rsid w:val="00310B9A"/>
    <w:rsid w:val="00312148"/>
    <w:rsid w:val="00313ED4"/>
    <w:rsid w:val="0031546D"/>
    <w:rsid w:val="003167C8"/>
    <w:rsid w:val="00317274"/>
    <w:rsid w:val="00317592"/>
    <w:rsid w:val="00321BF6"/>
    <w:rsid w:val="00322565"/>
    <w:rsid w:val="00322B22"/>
    <w:rsid w:val="00323202"/>
    <w:rsid w:val="00324EBF"/>
    <w:rsid w:val="00325E57"/>
    <w:rsid w:val="0033272A"/>
    <w:rsid w:val="00333A50"/>
    <w:rsid w:val="00333F34"/>
    <w:rsid w:val="003400BA"/>
    <w:rsid w:val="0034202B"/>
    <w:rsid w:val="003474C5"/>
    <w:rsid w:val="00350BC3"/>
    <w:rsid w:val="00351199"/>
    <w:rsid w:val="0035146A"/>
    <w:rsid w:val="00354A38"/>
    <w:rsid w:val="00354A7A"/>
    <w:rsid w:val="00355C63"/>
    <w:rsid w:val="00356FA0"/>
    <w:rsid w:val="0036002A"/>
    <w:rsid w:val="003600FD"/>
    <w:rsid w:val="0036066A"/>
    <w:rsid w:val="003608D7"/>
    <w:rsid w:val="003629CA"/>
    <w:rsid w:val="00364026"/>
    <w:rsid w:val="00365C4D"/>
    <w:rsid w:val="003673F5"/>
    <w:rsid w:val="003711B6"/>
    <w:rsid w:val="00371EF0"/>
    <w:rsid w:val="003748DF"/>
    <w:rsid w:val="00375873"/>
    <w:rsid w:val="00376BA8"/>
    <w:rsid w:val="00377929"/>
    <w:rsid w:val="003812B9"/>
    <w:rsid w:val="0038368B"/>
    <w:rsid w:val="003872E9"/>
    <w:rsid w:val="0038767D"/>
    <w:rsid w:val="00387758"/>
    <w:rsid w:val="00387E30"/>
    <w:rsid w:val="00390FE3"/>
    <w:rsid w:val="00392AF3"/>
    <w:rsid w:val="00393AE8"/>
    <w:rsid w:val="00395223"/>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377"/>
    <w:rsid w:val="003B2F07"/>
    <w:rsid w:val="003B30E6"/>
    <w:rsid w:val="003B30E9"/>
    <w:rsid w:val="003B335C"/>
    <w:rsid w:val="003B39CB"/>
    <w:rsid w:val="003B7B43"/>
    <w:rsid w:val="003C50DC"/>
    <w:rsid w:val="003C6026"/>
    <w:rsid w:val="003C7F6F"/>
    <w:rsid w:val="003D2D01"/>
    <w:rsid w:val="003D36A9"/>
    <w:rsid w:val="003D4908"/>
    <w:rsid w:val="003D5A43"/>
    <w:rsid w:val="003D6631"/>
    <w:rsid w:val="003D6C32"/>
    <w:rsid w:val="003E00FC"/>
    <w:rsid w:val="003E0380"/>
    <w:rsid w:val="003E1A7E"/>
    <w:rsid w:val="003E2F1B"/>
    <w:rsid w:val="003E38DE"/>
    <w:rsid w:val="003E3AE3"/>
    <w:rsid w:val="003E41DD"/>
    <w:rsid w:val="003E4BC2"/>
    <w:rsid w:val="003E533E"/>
    <w:rsid w:val="003E644C"/>
    <w:rsid w:val="003F1C67"/>
    <w:rsid w:val="003F24B8"/>
    <w:rsid w:val="003F5375"/>
    <w:rsid w:val="003F61E9"/>
    <w:rsid w:val="0040195F"/>
    <w:rsid w:val="00401ADA"/>
    <w:rsid w:val="00401CA7"/>
    <w:rsid w:val="00401F3D"/>
    <w:rsid w:val="0040205D"/>
    <w:rsid w:val="00402939"/>
    <w:rsid w:val="00410C3A"/>
    <w:rsid w:val="00413033"/>
    <w:rsid w:val="00413508"/>
    <w:rsid w:val="00414D84"/>
    <w:rsid w:val="0041597C"/>
    <w:rsid w:val="00416000"/>
    <w:rsid w:val="004175B5"/>
    <w:rsid w:val="00417822"/>
    <w:rsid w:val="004217C4"/>
    <w:rsid w:val="00421E7E"/>
    <w:rsid w:val="00423A5A"/>
    <w:rsid w:val="00432EEE"/>
    <w:rsid w:val="00433849"/>
    <w:rsid w:val="0043754D"/>
    <w:rsid w:val="00443DB8"/>
    <w:rsid w:val="00447E07"/>
    <w:rsid w:val="00456515"/>
    <w:rsid w:val="004565F2"/>
    <w:rsid w:val="00461929"/>
    <w:rsid w:val="00461F45"/>
    <w:rsid w:val="004651BA"/>
    <w:rsid w:val="004657DD"/>
    <w:rsid w:val="00466ED6"/>
    <w:rsid w:val="0047037A"/>
    <w:rsid w:val="0047393E"/>
    <w:rsid w:val="00475595"/>
    <w:rsid w:val="00480DA4"/>
    <w:rsid w:val="00482FA5"/>
    <w:rsid w:val="004833F8"/>
    <w:rsid w:val="00483779"/>
    <w:rsid w:val="00483950"/>
    <w:rsid w:val="0048395D"/>
    <w:rsid w:val="004843D3"/>
    <w:rsid w:val="0048656E"/>
    <w:rsid w:val="00487180"/>
    <w:rsid w:val="004872E8"/>
    <w:rsid w:val="00493A2B"/>
    <w:rsid w:val="00494BB5"/>
    <w:rsid w:val="00495AAB"/>
    <w:rsid w:val="00496397"/>
    <w:rsid w:val="00496449"/>
    <w:rsid w:val="004970F1"/>
    <w:rsid w:val="004A02A7"/>
    <w:rsid w:val="004A1B20"/>
    <w:rsid w:val="004A1D64"/>
    <w:rsid w:val="004A27F4"/>
    <w:rsid w:val="004A2D07"/>
    <w:rsid w:val="004A3245"/>
    <w:rsid w:val="004A3ECD"/>
    <w:rsid w:val="004A4D78"/>
    <w:rsid w:val="004A71F7"/>
    <w:rsid w:val="004B07B9"/>
    <w:rsid w:val="004B1E6C"/>
    <w:rsid w:val="004B3B47"/>
    <w:rsid w:val="004B3ED2"/>
    <w:rsid w:val="004B578A"/>
    <w:rsid w:val="004B5E5D"/>
    <w:rsid w:val="004B78B2"/>
    <w:rsid w:val="004C1071"/>
    <w:rsid w:val="004C19C0"/>
    <w:rsid w:val="004C2FE0"/>
    <w:rsid w:val="004C3C43"/>
    <w:rsid w:val="004C3CD7"/>
    <w:rsid w:val="004C5B2C"/>
    <w:rsid w:val="004C6164"/>
    <w:rsid w:val="004C7447"/>
    <w:rsid w:val="004D4FA2"/>
    <w:rsid w:val="004D760B"/>
    <w:rsid w:val="004D7624"/>
    <w:rsid w:val="004E15E2"/>
    <w:rsid w:val="004E17E0"/>
    <w:rsid w:val="004E61E3"/>
    <w:rsid w:val="004E6795"/>
    <w:rsid w:val="004E68B5"/>
    <w:rsid w:val="004E6F7E"/>
    <w:rsid w:val="004F1880"/>
    <w:rsid w:val="004F31E6"/>
    <w:rsid w:val="004F4CC2"/>
    <w:rsid w:val="004F51D8"/>
    <w:rsid w:val="004F71F2"/>
    <w:rsid w:val="00500249"/>
    <w:rsid w:val="00500706"/>
    <w:rsid w:val="00501EFC"/>
    <w:rsid w:val="00505CDB"/>
    <w:rsid w:val="005063B4"/>
    <w:rsid w:val="00506C00"/>
    <w:rsid w:val="00506EE8"/>
    <w:rsid w:val="0051182A"/>
    <w:rsid w:val="00511BE4"/>
    <w:rsid w:val="0051565F"/>
    <w:rsid w:val="00517430"/>
    <w:rsid w:val="0052052B"/>
    <w:rsid w:val="00520B0A"/>
    <w:rsid w:val="0052453D"/>
    <w:rsid w:val="0052573A"/>
    <w:rsid w:val="005266B2"/>
    <w:rsid w:val="00530AB2"/>
    <w:rsid w:val="00533B14"/>
    <w:rsid w:val="00533D57"/>
    <w:rsid w:val="00534E39"/>
    <w:rsid w:val="005369C9"/>
    <w:rsid w:val="0053788A"/>
    <w:rsid w:val="00540360"/>
    <w:rsid w:val="00540724"/>
    <w:rsid w:val="005424DD"/>
    <w:rsid w:val="005435FE"/>
    <w:rsid w:val="00546760"/>
    <w:rsid w:val="0054791F"/>
    <w:rsid w:val="00547AA1"/>
    <w:rsid w:val="0055244D"/>
    <w:rsid w:val="0056151F"/>
    <w:rsid w:val="005713F6"/>
    <w:rsid w:val="0057590E"/>
    <w:rsid w:val="00580B57"/>
    <w:rsid w:val="00582B3F"/>
    <w:rsid w:val="00582F7A"/>
    <w:rsid w:val="005839BB"/>
    <w:rsid w:val="005843B2"/>
    <w:rsid w:val="005848B3"/>
    <w:rsid w:val="00585203"/>
    <w:rsid w:val="00585BE3"/>
    <w:rsid w:val="00587D2D"/>
    <w:rsid w:val="0059212D"/>
    <w:rsid w:val="005944FB"/>
    <w:rsid w:val="00594AF1"/>
    <w:rsid w:val="00594DAB"/>
    <w:rsid w:val="00596288"/>
    <w:rsid w:val="005A48E3"/>
    <w:rsid w:val="005A4C43"/>
    <w:rsid w:val="005A7B6E"/>
    <w:rsid w:val="005B1549"/>
    <w:rsid w:val="005B5FC0"/>
    <w:rsid w:val="005B7A80"/>
    <w:rsid w:val="005B7CE2"/>
    <w:rsid w:val="005C5292"/>
    <w:rsid w:val="005C5D2F"/>
    <w:rsid w:val="005C674B"/>
    <w:rsid w:val="005D0716"/>
    <w:rsid w:val="005D0720"/>
    <w:rsid w:val="005D2715"/>
    <w:rsid w:val="005D506F"/>
    <w:rsid w:val="005D77BE"/>
    <w:rsid w:val="005E2ABF"/>
    <w:rsid w:val="005E40D1"/>
    <w:rsid w:val="005E6C7E"/>
    <w:rsid w:val="005E7AE7"/>
    <w:rsid w:val="005F21EE"/>
    <w:rsid w:val="005F30A4"/>
    <w:rsid w:val="005F3B70"/>
    <w:rsid w:val="005F3D10"/>
    <w:rsid w:val="005F4C09"/>
    <w:rsid w:val="005F6653"/>
    <w:rsid w:val="005F6F02"/>
    <w:rsid w:val="006021AF"/>
    <w:rsid w:val="006038ED"/>
    <w:rsid w:val="0060601E"/>
    <w:rsid w:val="006062DB"/>
    <w:rsid w:val="00607B9E"/>
    <w:rsid w:val="00612894"/>
    <w:rsid w:val="00612940"/>
    <w:rsid w:val="006130B4"/>
    <w:rsid w:val="006150C4"/>
    <w:rsid w:val="006161C6"/>
    <w:rsid w:val="00617E6C"/>
    <w:rsid w:val="0062054A"/>
    <w:rsid w:val="00620A01"/>
    <w:rsid w:val="00621C85"/>
    <w:rsid w:val="00624CFB"/>
    <w:rsid w:val="00624EE2"/>
    <w:rsid w:val="00630A29"/>
    <w:rsid w:val="00633EE3"/>
    <w:rsid w:val="006342E2"/>
    <w:rsid w:val="006353B2"/>
    <w:rsid w:val="006369AE"/>
    <w:rsid w:val="00644567"/>
    <w:rsid w:val="006474DD"/>
    <w:rsid w:val="0065135F"/>
    <w:rsid w:val="00651B74"/>
    <w:rsid w:val="00652D8E"/>
    <w:rsid w:val="006536D5"/>
    <w:rsid w:val="00655697"/>
    <w:rsid w:val="00660638"/>
    <w:rsid w:val="0066135D"/>
    <w:rsid w:val="0066182D"/>
    <w:rsid w:val="006625FC"/>
    <w:rsid w:val="006640EA"/>
    <w:rsid w:val="0066485C"/>
    <w:rsid w:val="006658EC"/>
    <w:rsid w:val="0066613A"/>
    <w:rsid w:val="006662A2"/>
    <w:rsid w:val="006679FF"/>
    <w:rsid w:val="0067094D"/>
    <w:rsid w:val="00670BEF"/>
    <w:rsid w:val="00670E44"/>
    <w:rsid w:val="0067160A"/>
    <w:rsid w:val="00673026"/>
    <w:rsid w:val="00675AA8"/>
    <w:rsid w:val="00675F1C"/>
    <w:rsid w:val="00680C58"/>
    <w:rsid w:val="00683ACD"/>
    <w:rsid w:val="0068486E"/>
    <w:rsid w:val="006852A5"/>
    <w:rsid w:val="00690444"/>
    <w:rsid w:val="006906BA"/>
    <w:rsid w:val="00690A9B"/>
    <w:rsid w:val="00691E2B"/>
    <w:rsid w:val="006938EA"/>
    <w:rsid w:val="006940B1"/>
    <w:rsid w:val="00694E3F"/>
    <w:rsid w:val="00696EC6"/>
    <w:rsid w:val="00696EC8"/>
    <w:rsid w:val="0069742A"/>
    <w:rsid w:val="00697934"/>
    <w:rsid w:val="006A057A"/>
    <w:rsid w:val="006A118D"/>
    <w:rsid w:val="006A1253"/>
    <w:rsid w:val="006A1659"/>
    <w:rsid w:val="006A181B"/>
    <w:rsid w:val="006A29C8"/>
    <w:rsid w:val="006A54C0"/>
    <w:rsid w:val="006B052E"/>
    <w:rsid w:val="006B2E1E"/>
    <w:rsid w:val="006B3FA8"/>
    <w:rsid w:val="006C1354"/>
    <w:rsid w:val="006C4497"/>
    <w:rsid w:val="006C4C43"/>
    <w:rsid w:val="006C4C96"/>
    <w:rsid w:val="006C6640"/>
    <w:rsid w:val="006D2A9D"/>
    <w:rsid w:val="006D741B"/>
    <w:rsid w:val="006E494B"/>
    <w:rsid w:val="006F15C6"/>
    <w:rsid w:val="006F394D"/>
    <w:rsid w:val="006F5BC2"/>
    <w:rsid w:val="006F6758"/>
    <w:rsid w:val="006F75F1"/>
    <w:rsid w:val="00701F15"/>
    <w:rsid w:val="00701F39"/>
    <w:rsid w:val="00702329"/>
    <w:rsid w:val="00702B4E"/>
    <w:rsid w:val="00703496"/>
    <w:rsid w:val="007046AE"/>
    <w:rsid w:val="00704B80"/>
    <w:rsid w:val="00707927"/>
    <w:rsid w:val="00711138"/>
    <w:rsid w:val="00712D30"/>
    <w:rsid w:val="0071474F"/>
    <w:rsid w:val="00715721"/>
    <w:rsid w:val="00717519"/>
    <w:rsid w:val="00722E76"/>
    <w:rsid w:val="00723547"/>
    <w:rsid w:val="00732C08"/>
    <w:rsid w:val="007345AA"/>
    <w:rsid w:val="00734B29"/>
    <w:rsid w:val="0073517A"/>
    <w:rsid w:val="00735C2D"/>
    <w:rsid w:val="0073649C"/>
    <w:rsid w:val="0074133B"/>
    <w:rsid w:val="00741C8C"/>
    <w:rsid w:val="00742AE8"/>
    <w:rsid w:val="00744041"/>
    <w:rsid w:val="007459ED"/>
    <w:rsid w:val="00746ABA"/>
    <w:rsid w:val="00756451"/>
    <w:rsid w:val="00762B96"/>
    <w:rsid w:val="007633DB"/>
    <w:rsid w:val="0076447C"/>
    <w:rsid w:val="0076771E"/>
    <w:rsid w:val="00771301"/>
    <w:rsid w:val="00772711"/>
    <w:rsid w:val="007740FD"/>
    <w:rsid w:val="00774B1B"/>
    <w:rsid w:val="0078121F"/>
    <w:rsid w:val="007824FA"/>
    <w:rsid w:val="00782704"/>
    <w:rsid w:val="00784451"/>
    <w:rsid w:val="00787C8B"/>
    <w:rsid w:val="00791033"/>
    <w:rsid w:val="00792527"/>
    <w:rsid w:val="007931D5"/>
    <w:rsid w:val="007940E8"/>
    <w:rsid w:val="007945B2"/>
    <w:rsid w:val="007A0205"/>
    <w:rsid w:val="007A47B0"/>
    <w:rsid w:val="007A4FC6"/>
    <w:rsid w:val="007A53DA"/>
    <w:rsid w:val="007A5D2F"/>
    <w:rsid w:val="007B01F9"/>
    <w:rsid w:val="007B17A2"/>
    <w:rsid w:val="007B47FE"/>
    <w:rsid w:val="007C10D5"/>
    <w:rsid w:val="007C23F9"/>
    <w:rsid w:val="007C2C5C"/>
    <w:rsid w:val="007C36CC"/>
    <w:rsid w:val="007C5414"/>
    <w:rsid w:val="007D136B"/>
    <w:rsid w:val="007D32DE"/>
    <w:rsid w:val="007D45E0"/>
    <w:rsid w:val="007D62CD"/>
    <w:rsid w:val="007D6548"/>
    <w:rsid w:val="007D67E4"/>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778"/>
    <w:rsid w:val="007F6EB1"/>
    <w:rsid w:val="007F77EB"/>
    <w:rsid w:val="00802D0F"/>
    <w:rsid w:val="008033D2"/>
    <w:rsid w:val="0080411C"/>
    <w:rsid w:val="00804B84"/>
    <w:rsid w:val="0080647F"/>
    <w:rsid w:val="0081017D"/>
    <w:rsid w:val="00810FBA"/>
    <w:rsid w:val="00813440"/>
    <w:rsid w:val="008217FE"/>
    <w:rsid w:val="00822669"/>
    <w:rsid w:val="00824F55"/>
    <w:rsid w:val="00827A4E"/>
    <w:rsid w:val="008302D7"/>
    <w:rsid w:val="008327F0"/>
    <w:rsid w:val="00834A07"/>
    <w:rsid w:val="0083559F"/>
    <w:rsid w:val="00837EE7"/>
    <w:rsid w:val="008414B4"/>
    <w:rsid w:val="008441CC"/>
    <w:rsid w:val="0084420C"/>
    <w:rsid w:val="0084701F"/>
    <w:rsid w:val="00847577"/>
    <w:rsid w:val="00852557"/>
    <w:rsid w:val="00852AB9"/>
    <w:rsid w:val="00852DFE"/>
    <w:rsid w:val="00854926"/>
    <w:rsid w:val="0085623C"/>
    <w:rsid w:val="00856D52"/>
    <w:rsid w:val="0085715D"/>
    <w:rsid w:val="00870399"/>
    <w:rsid w:val="00870851"/>
    <w:rsid w:val="00870D58"/>
    <w:rsid w:val="00875B93"/>
    <w:rsid w:val="00875FDF"/>
    <w:rsid w:val="00880274"/>
    <w:rsid w:val="00880326"/>
    <w:rsid w:val="00882560"/>
    <w:rsid w:val="00884018"/>
    <w:rsid w:val="00885170"/>
    <w:rsid w:val="00885B95"/>
    <w:rsid w:val="00886069"/>
    <w:rsid w:val="00887B01"/>
    <w:rsid w:val="00892083"/>
    <w:rsid w:val="00892601"/>
    <w:rsid w:val="00893F10"/>
    <w:rsid w:val="0089517E"/>
    <w:rsid w:val="00895663"/>
    <w:rsid w:val="00895A44"/>
    <w:rsid w:val="008961CB"/>
    <w:rsid w:val="00897804"/>
    <w:rsid w:val="008A1412"/>
    <w:rsid w:val="008A1807"/>
    <w:rsid w:val="008A4F85"/>
    <w:rsid w:val="008A5C7B"/>
    <w:rsid w:val="008B0087"/>
    <w:rsid w:val="008B02AE"/>
    <w:rsid w:val="008B0767"/>
    <w:rsid w:val="008B0ACB"/>
    <w:rsid w:val="008B1320"/>
    <w:rsid w:val="008B3CC1"/>
    <w:rsid w:val="008B3DA2"/>
    <w:rsid w:val="008C0D57"/>
    <w:rsid w:val="008C2CAD"/>
    <w:rsid w:val="008C36C2"/>
    <w:rsid w:val="008C444B"/>
    <w:rsid w:val="008C5027"/>
    <w:rsid w:val="008D1BAE"/>
    <w:rsid w:val="008D2A0F"/>
    <w:rsid w:val="008D2D46"/>
    <w:rsid w:val="008D30F3"/>
    <w:rsid w:val="008D3956"/>
    <w:rsid w:val="008D432F"/>
    <w:rsid w:val="008D4F1A"/>
    <w:rsid w:val="008D5AD5"/>
    <w:rsid w:val="008E25BC"/>
    <w:rsid w:val="008E2B3B"/>
    <w:rsid w:val="008E2D06"/>
    <w:rsid w:val="008E49D7"/>
    <w:rsid w:val="008E6266"/>
    <w:rsid w:val="008E7DF5"/>
    <w:rsid w:val="008F2403"/>
    <w:rsid w:val="008F30DE"/>
    <w:rsid w:val="008F36D3"/>
    <w:rsid w:val="008F7B3E"/>
    <w:rsid w:val="00900281"/>
    <w:rsid w:val="0090046B"/>
    <w:rsid w:val="00900D30"/>
    <w:rsid w:val="00902385"/>
    <w:rsid w:val="00902B9F"/>
    <w:rsid w:val="009037CD"/>
    <w:rsid w:val="00904E9D"/>
    <w:rsid w:val="00905456"/>
    <w:rsid w:val="00905F55"/>
    <w:rsid w:val="00906E58"/>
    <w:rsid w:val="00907111"/>
    <w:rsid w:val="00910EEE"/>
    <w:rsid w:val="0091183C"/>
    <w:rsid w:val="00915070"/>
    <w:rsid w:val="00916559"/>
    <w:rsid w:val="00920752"/>
    <w:rsid w:val="0092110A"/>
    <w:rsid w:val="00922081"/>
    <w:rsid w:val="00922744"/>
    <w:rsid w:val="009249A8"/>
    <w:rsid w:val="00926274"/>
    <w:rsid w:val="00926338"/>
    <w:rsid w:val="00927C2D"/>
    <w:rsid w:val="00933DAA"/>
    <w:rsid w:val="00936F33"/>
    <w:rsid w:val="00943D87"/>
    <w:rsid w:val="00944088"/>
    <w:rsid w:val="009459B3"/>
    <w:rsid w:val="009504F9"/>
    <w:rsid w:val="009539B9"/>
    <w:rsid w:val="00953A95"/>
    <w:rsid w:val="0095592E"/>
    <w:rsid w:val="00956FD4"/>
    <w:rsid w:val="00961490"/>
    <w:rsid w:val="00962808"/>
    <w:rsid w:val="009629E2"/>
    <w:rsid w:val="00964110"/>
    <w:rsid w:val="00964648"/>
    <w:rsid w:val="00964DE4"/>
    <w:rsid w:val="00966425"/>
    <w:rsid w:val="0097000A"/>
    <w:rsid w:val="009703C5"/>
    <w:rsid w:val="00972AD9"/>
    <w:rsid w:val="00973EC3"/>
    <w:rsid w:val="009741AF"/>
    <w:rsid w:val="00976F0F"/>
    <w:rsid w:val="009775BB"/>
    <w:rsid w:val="00983EDA"/>
    <w:rsid w:val="009856FE"/>
    <w:rsid w:val="00985ACD"/>
    <w:rsid w:val="00985F9A"/>
    <w:rsid w:val="00986626"/>
    <w:rsid w:val="00986A53"/>
    <w:rsid w:val="00986C9D"/>
    <w:rsid w:val="00987445"/>
    <w:rsid w:val="00993617"/>
    <w:rsid w:val="009A147B"/>
    <w:rsid w:val="009A1AFB"/>
    <w:rsid w:val="009A275F"/>
    <w:rsid w:val="009A2B5A"/>
    <w:rsid w:val="009A3622"/>
    <w:rsid w:val="009A403A"/>
    <w:rsid w:val="009A5A8D"/>
    <w:rsid w:val="009A6884"/>
    <w:rsid w:val="009A6FAB"/>
    <w:rsid w:val="009A7C2F"/>
    <w:rsid w:val="009B542E"/>
    <w:rsid w:val="009B73D8"/>
    <w:rsid w:val="009C4777"/>
    <w:rsid w:val="009C664B"/>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106C"/>
    <w:rsid w:val="009F1574"/>
    <w:rsid w:val="009F1C8C"/>
    <w:rsid w:val="00A0213C"/>
    <w:rsid w:val="00A02526"/>
    <w:rsid w:val="00A03EDF"/>
    <w:rsid w:val="00A05534"/>
    <w:rsid w:val="00A07074"/>
    <w:rsid w:val="00A105B2"/>
    <w:rsid w:val="00A11E98"/>
    <w:rsid w:val="00A148A3"/>
    <w:rsid w:val="00A14DB6"/>
    <w:rsid w:val="00A1622C"/>
    <w:rsid w:val="00A21FA6"/>
    <w:rsid w:val="00A25586"/>
    <w:rsid w:val="00A268D9"/>
    <w:rsid w:val="00A26D94"/>
    <w:rsid w:val="00A26DDE"/>
    <w:rsid w:val="00A26EC7"/>
    <w:rsid w:val="00A270E0"/>
    <w:rsid w:val="00A31A23"/>
    <w:rsid w:val="00A32360"/>
    <w:rsid w:val="00A34203"/>
    <w:rsid w:val="00A34717"/>
    <w:rsid w:val="00A352FA"/>
    <w:rsid w:val="00A3588F"/>
    <w:rsid w:val="00A37853"/>
    <w:rsid w:val="00A4194C"/>
    <w:rsid w:val="00A42098"/>
    <w:rsid w:val="00A45A45"/>
    <w:rsid w:val="00A46E5A"/>
    <w:rsid w:val="00A4755C"/>
    <w:rsid w:val="00A5437A"/>
    <w:rsid w:val="00A54D3A"/>
    <w:rsid w:val="00A57594"/>
    <w:rsid w:val="00A63B51"/>
    <w:rsid w:val="00A66FF6"/>
    <w:rsid w:val="00A67DB4"/>
    <w:rsid w:val="00A70C73"/>
    <w:rsid w:val="00A72EC1"/>
    <w:rsid w:val="00A73EF5"/>
    <w:rsid w:val="00A750BA"/>
    <w:rsid w:val="00A769FE"/>
    <w:rsid w:val="00A77DF5"/>
    <w:rsid w:val="00A80336"/>
    <w:rsid w:val="00A80A1B"/>
    <w:rsid w:val="00A84451"/>
    <w:rsid w:val="00A8605A"/>
    <w:rsid w:val="00A86683"/>
    <w:rsid w:val="00AA1086"/>
    <w:rsid w:val="00AA1776"/>
    <w:rsid w:val="00AA2C54"/>
    <w:rsid w:val="00AA68C5"/>
    <w:rsid w:val="00AB134F"/>
    <w:rsid w:val="00AB2CA4"/>
    <w:rsid w:val="00AB4DF6"/>
    <w:rsid w:val="00AB65C9"/>
    <w:rsid w:val="00AB6DAF"/>
    <w:rsid w:val="00AB7A70"/>
    <w:rsid w:val="00AB7ED5"/>
    <w:rsid w:val="00AC0647"/>
    <w:rsid w:val="00AC13A3"/>
    <w:rsid w:val="00AC150F"/>
    <w:rsid w:val="00AC3F0F"/>
    <w:rsid w:val="00AD08A8"/>
    <w:rsid w:val="00AD1123"/>
    <w:rsid w:val="00AD1ACD"/>
    <w:rsid w:val="00AD1D0C"/>
    <w:rsid w:val="00AD2043"/>
    <w:rsid w:val="00AD6A3B"/>
    <w:rsid w:val="00AE0405"/>
    <w:rsid w:val="00AE148F"/>
    <w:rsid w:val="00AE1D4E"/>
    <w:rsid w:val="00AE28C5"/>
    <w:rsid w:val="00AE2C26"/>
    <w:rsid w:val="00AE37CC"/>
    <w:rsid w:val="00AE57B8"/>
    <w:rsid w:val="00AE5AD4"/>
    <w:rsid w:val="00AE6F42"/>
    <w:rsid w:val="00AF200C"/>
    <w:rsid w:val="00AF37F9"/>
    <w:rsid w:val="00AF49E8"/>
    <w:rsid w:val="00AF4EAE"/>
    <w:rsid w:val="00AF503B"/>
    <w:rsid w:val="00AF5947"/>
    <w:rsid w:val="00AF5DFD"/>
    <w:rsid w:val="00AF7033"/>
    <w:rsid w:val="00AF73DC"/>
    <w:rsid w:val="00B00B0F"/>
    <w:rsid w:val="00B013E9"/>
    <w:rsid w:val="00B053F8"/>
    <w:rsid w:val="00B06031"/>
    <w:rsid w:val="00B06692"/>
    <w:rsid w:val="00B10855"/>
    <w:rsid w:val="00B11152"/>
    <w:rsid w:val="00B12FDB"/>
    <w:rsid w:val="00B138AD"/>
    <w:rsid w:val="00B20CC0"/>
    <w:rsid w:val="00B22461"/>
    <w:rsid w:val="00B225F2"/>
    <w:rsid w:val="00B235F6"/>
    <w:rsid w:val="00B2430A"/>
    <w:rsid w:val="00B33750"/>
    <w:rsid w:val="00B34951"/>
    <w:rsid w:val="00B34C6A"/>
    <w:rsid w:val="00B36D56"/>
    <w:rsid w:val="00B410A8"/>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0804"/>
    <w:rsid w:val="00B71374"/>
    <w:rsid w:val="00B73490"/>
    <w:rsid w:val="00B73F4A"/>
    <w:rsid w:val="00B74DED"/>
    <w:rsid w:val="00B76E0C"/>
    <w:rsid w:val="00B774C3"/>
    <w:rsid w:val="00B8057E"/>
    <w:rsid w:val="00B81839"/>
    <w:rsid w:val="00B82720"/>
    <w:rsid w:val="00B83804"/>
    <w:rsid w:val="00B85C23"/>
    <w:rsid w:val="00B877C3"/>
    <w:rsid w:val="00B87AD1"/>
    <w:rsid w:val="00B906F0"/>
    <w:rsid w:val="00B90E02"/>
    <w:rsid w:val="00B93557"/>
    <w:rsid w:val="00B93F81"/>
    <w:rsid w:val="00B94717"/>
    <w:rsid w:val="00B94A1B"/>
    <w:rsid w:val="00B96227"/>
    <w:rsid w:val="00BA090C"/>
    <w:rsid w:val="00BA33BA"/>
    <w:rsid w:val="00BA41E1"/>
    <w:rsid w:val="00BA7998"/>
    <w:rsid w:val="00BB1440"/>
    <w:rsid w:val="00BB1E3B"/>
    <w:rsid w:val="00BB34DC"/>
    <w:rsid w:val="00BB6AB5"/>
    <w:rsid w:val="00BC06F4"/>
    <w:rsid w:val="00BC5C7F"/>
    <w:rsid w:val="00BC5F58"/>
    <w:rsid w:val="00BC6F75"/>
    <w:rsid w:val="00BC7159"/>
    <w:rsid w:val="00BD0CC1"/>
    <w:rsid w:val="00BD1D0A"/>
    <w:rsid w:val="00BD389A"/>
    <w:rsid w:val="00BD4776"/>
    <w:rsid w:val="00BD4F42"/>
    <w:rsid w:val="00BE0FC1"/>
    <w:rsid w:val="00BE3C15"/>
    <w:rsid w:val="00BE5406"/>
    <w:rsid w:val="00BE5C10"/>
    <w:rsid w:val="00BE6DEC"/>
    <w:rsid w:val="00BE7065"/>
    <w:rsid w:val="00BF2392"/>
    <w:rsid w:val="00BF2EAC"/>
    <w:rsid w:val="00BF3334"/>
    <w:rsid w:val="00BF5A05"/>
    <w:rsid w:val="00BF7C93"/>
    <w:rsid w:val="00C021DF"/>
    <w:rsid w:val="00C03F59"/>
    <w:rsid w:val="00C04590"/>
    <w:rsid w:val="00C052B7"/>
    <w:rsid w:val="00C053FA"/>
    <w:rsid w:val="00C10E5E"/>
    <w:rsid w:val="00C11ED5"/>
    <w:rsid w:val="00C12C2C"/>
    <w:rsid w:val="00C15089"/>
    <w:rsid w:val="00C15339"/>
    <w:rsid w:val="00C17DA2"/>
    <w:rsid w:val="00C2053E"/>
    <w:rsid w:val="00C205B9"/>
    <w:rsid w:val="00C20FD7"/>
    <w:rsid w:val="00C2413D"/>
    <w:rsid w:val="00C249F3"/>
    <w:rsid w:val="00C261BE"/>
    <w:rsid w:val="00C27619"/>
    <w:rsid w:val="00C30C83"/>
    <w:rsid w:val="00C31672"/>
    <w:rsid w:val="00C33005"/>
    <w:rsid w:val="00C33ED6"/>
    <w:rsid w:val="00C353AE"/>
    <w:rsid w:val="00C403A1"/>
    <w:rsid w:val="00C4086C"/>
    <w:rsid w:val="00C40AB3"/>
    <w:rsid w:val="00C41DBA"/>
    <w:rsid w:val="00C43FEC"/>
    <w:rsid w:val="00C50A1F"/>
    <w:rsid w:val="00C50E1E"/>
    <w:rsid w:val="00C51A20"/>
    <w:rsid w:val="00C538DC"/>
    <w:rsid w:val="00C54324"/>
    <w:rsid w:val="00C549EE"/>
    <w:rsid w:val="00C5521E"/>
    <w:rsid w:val="00C603E1"/>
    <w:rsid w:val="00C6389F"/>
    <w:rsid w:val="00C6451A"/>
    <w:rsid w:val="00C647A0"/>
    <w:rsid w:val="00C67D75"/>
    <w:rsid w:val="00C67E97"/>
    <w:rsid w:val="00C70F66"/>
    <w:rsid w:val="00C751A6"/>
    <w:rsid w:val="00C77B75"/>
    <w:rsid w:val="00C811E4"/>
    <w:rsid w:val="00C83B31"/>
    <w:rsid w:val="00C84313"/>
    <w:rsid w:val="00C86B0B"/>
    <w:rsid w:val="00C86BA7"/>
    <w:rsid w:val="00C879FC"/>
    <w:rsid w:val="00C87A65"/>
    <w:rsid w:val="00C87E1C"/>
    <w:rsid w:val="00C9250E"/>
    <w:rsid w:val="00C92F21"/>
    <w:rsid w:val="00C947CD"/>
    <w:rsid w:val="00C96BAF"/>
    <w:rsid w:val="00CA0356"/>
    <w:rsid w:val="00CA20E2"/>
    <w:rsid w:val="00CA297D"/>
    <w:rsid w:val="00CA6848"/>
    <w:rsid w:val="00CA7800"/>
    <w:rsid w:val="00CB46EB"/>
    <w:rsid w:val="00CC087F"/>
    <w:rsid w:val="00CC102F"/>
    <w:rsid w:val="00CC3A51"/>
    <w:rsid w:val="00CC4BA6"/>
    <w:rsid w:val="00CD14D6"/>
    <w:rsid w:val="00CD2302"/>
    <w:rsid w:val="00CD44C9"/>
    <w:rsid w:val="00CE1F3B"/>
    <w:rsid w:val="00CE3673"/>
    <w:rsid w:val="00CF0C94"/>
    <w:rsid w:val="00CF16C1"/>
    <w:rsid w:val="00CF1749"/>
    <w:rsid w:val="00CF4BA8"/>
    <w:rsid w:val="00CF4C31"/>
    <w:rsid w:val="00D00FE2"/>
    <w:rsid w:val="00D04714"/>
    <w:rsid w:val="00D0530D"/>
    <w:rsid w:val="00D12664"/>
    <w:rsid w:val="00D15587"/>
    <w:rsid w:val="00D1735C"/>
    <w:rsid w:val="00D17F45"/>
    <w:rsid w:val="00D20647"/>
    <w:rsid w:val="00D23128"/>
    <w:rsid w:val="00D2334E"/>
    <w:rsid w:val="00D252D5"/>
    <w:rsid w:val="00D26750"/>
    <w:rsid w:val="00D27033"/>
    <w:rsid w:val="00D27DDE"/>
    <w:rsid w:val="00D301DA"/>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8014F"/>
    <w:rsid w:val="00D804CE"/>
    <w:rsid w:val="00D80D70"/>
    <w:rsid w:val="00D819DD"/>
    <w:rsid w:val="00D81B46"/>
    <w:rsid w:val="00D81B9A"/>
    <w:rsid w:val="00D823CB"/>
    <w:rsid w:val="00D8354C"/>
    <w:rsid w:val="00D84DA1"/>
    <w:rsid w:val="00D85603"/>
    <w:rsid w:val="00D85D41"/>
    <w:rsid w:val="00D900E4"/>
    <w:rsid w:val="00D90449"/>
    <w:rsid w:val="00D9364A"/>
    <w:rsid w:val="00D936AA"/>
    <w:rsid w:val="00D94733"/>
    <w:rsid w:val="00D9566C"/>
    <w:rsid w:val="00D95C35"/>
    <w:rsid w:val="00D972D0"/>
    <w:rsid w:val="00DA04AE"/>
    <w:rsid w:val="00DA1731"/>
    <w:rsid w:val="00DA29CD"/>
    <w:rsid w:val="00DA71A8"/>
    <w:rsid w:val="00DA74A9"/>
    <w:rsid w:val="00DA7C72"/>
    <w:rsid w:val="00DB21F1"/>
    <w:rsid w:val="00DB2E6D"/>
    <w:rsid w:val="00DB3B04"/>
    <w:rsid w:val="00DB4A99"/>
    <w:rsid w:val="00DB53D8"/>
    <w:rsid w:val="00DB5977"/>
    <w:rsid w:val="00DB5A37"/>
    <w:rsid w:val="00DB5CC1"/>
    <w:rsid w:val="00DB6C57"/>
    <w:rsid w:val="00DB6E99"/>
    <w:rsid w:val="00DB70F1"/>
    <w:rsid w:val="00DC1AE9"/>
    <w:rsid w:val="00DC3060"/>
    <w:rsid w:val="00DC5BD6"/>
    <w:rsid w:val="00DD02AC"/>
    <w:rsid w:val="00DD0B60"/>
    <w:rsid w:val="00DD1094"/>
    <w:rsid w:val="00DD1A2F"/>
    <w:rsid w:val="00DD2D6C"/>
    <w:rsid w:val="00DD47D8"/>
    <w:rsid w:val="00DD5316"/>
    <w:rsid w:val="00DD64C8"/>
    <w:rsid w:val="00DE2FC9"/>
    <w:rsid w:val="00DE36B5"/>
    <w:rsid w:val="00DE3A8A"/>
    <w:rsid w:val="00DE3B4C"/>
    <w:rsid w:val="00DE426E"/>
    <w:rsid w:val="00DE42A7"/>
    <w:rsid w:val="00DE5F2F"/>
    <w:rsid w:val="00DE64FC"/>
    <w:rsid w:val="00DE6F49"/>
    <w:rsid w:val="00DE7BA6"/>
    <w:rsid w:val="00DE7F3A"/>
    <w:rsid w:val="00DF042A"/>
    <w:rsid w:val="00DF1E31"/>
    <w:rsid w:val="00DF2030"/>
    <w:rsid w:val="00DF47DC"/>
    <w:rsid w:val="00DF4D9B"/>
    <w:rsid w:val="00DF681A"/>
    <w:rsid w:val="00DF6C0C"/>
    <w:rsid w:val="00DF72BF"/>
    <w:rsid w:val="00DF7F25"/>
    <w:rsid w:val="00E00257"/>
    <w:rsid w:val="00E00938"/>
    <w:rsid w:val="00E00975"/>
    <w:rsid w:val="00E00D07"/>
    <w:rsid w:val="00E01C7A"/>
    <w:rsid w:val="00E041A3"/>
    <w:rsid w:val="00E05090"/>
    <w:rsid w:val="00E06B22"/>
    <w:rsid w:val="00E075D4"/>
    <w:rsid w:val="00E11ED4"/>
    <w:rsid w:val="00E129FA"/>
    <w:rsid w:val="00E12E1C"/>
    <w:rsid w:val="00E15A60"/>
    <w:rsid w:val="00E15A6A"/>
    <w:rsid w:val="00E206A6"/>
    <w:rsid w:val="00E21614"/>
    <w:rsid w:val="00E218CB"/>
    <w:rsid w:val="00E314E9"/>
    <w:rsid w:val="00E32280"/>
    <w:rsid w:val="00E33D2F"/>
    <w:rsid w:val="00E40F0D"/>
    <w:rsid w:val="00E4204A"/>
    <w:rsid w:val="00E422EF"/>
    <w:rsid w:val="00E424E4"/>
    <w:rsid w:val="00E431E6"/>
    <w:rsid w:val="00E43D55"/>
    <w:rsid w:val="00E47529"/>
    <w:rsid w:val="00E4771E"/>
    <w:rsid w:val="00E50827"/>
    <w:rsid w:val="00E50D75"/>
    <w:rsid w:val="00E54F90"/>
    <w:rsid w:val="00E61558"/>
    <w:rsid w:val="00E625C1"/>
    <w:rsid w:val="00E6358C"/>
    <w:rsid w:val="00E65644"/>
    <w:rsid w:val="00E66F23"/>
    <w:rsid w:val="00E721BB"/>
    <w:rsid w:val="00E73C0C"/>
    <w:rsid w:val="00E746DB"/>
    <w:rsid w:val="00E747EF"/>
    <w:rsid w:val="00E74806"/>
    <w:rsid w:val="00E77C92"/>
    <w:rsid w:val="00E82B80"/>
    <w:rsid w:val="00E84942"/>
    <w:rsid w:val="00E84E8F"/>
    <w:rsid w:val="00E853DB"/>
    <w:rsid w:val="00E85692"/>
    <w:rsid w:val="00E87090"/>
    <w:rsid w:val="00E951AE"/>
    <w:rsid w:val="00E971C0"/>
    <w:rsid w:val="00EA5D87"/>
    <w:rsid w:val="00EA6ACF"/>
    <w:rsid w:val="00EB11A1"/>
    <w:rsid w:val="00EB78F2"/>
    <w:rsid w:val="00EB7C16"/>
    <w:rsid w:val="00EC207F"/>
    <w:rsid w:val="00EC3378"/>
    <w:rsid w:val="00EC3F50"/>
    <w:rsid w:val="00EC5B97"/>
    <w:rsid w:val="00EC6528"/>
    <w:rsid w:val="00EC6A73"/>
    <w:rsid w:val="00EC6A99"/>
    <w:rsid w:val="00EC7133"/>
    <w:rsid w:val="00EC75F1"/>
    <w:rsid w:val="00ED157E"/>
    <w:rsid w:val="00ED1B8C"/>
    <w:rsid w:val="00ED321B"/>
    <w:rsid w:val="00ED4F9E"/>
    <w:rsid w:val="00EE1ADF"/>
    <w:rsid w:val="00EE24DC"/>
    <w:rsid w:val="00EE2CD6"/>
    <w:rsid w:val="00EE2D63"/>
    <w:rsid w:val="00EE36C3"/>
    <w:rsid w:val="00EE48F7"/>
    <w:rsid w:val="00EE5F08"/>
    <w:rsid w:val="00EE62FD"/>
    <w:rsid w:val="00EE79C2"/>
    <w:rsid w:val="00EE7AFC"/>
    <w:rsid w:val="00EF00AE"/>
    <w:rsid w:val="00EF0D48"/>
    <w:rsid w:val="00EF10B6"/>
    <w:rsid w:val="00EF3B0F"/>
    <w:rsid w:val="00EF4617"/>
    <w:rsid w:val="00F00567"/>
    <w:rsid w:val="00F0124C"/>
    <w:rsid w:val="00F01B87"/>
    <w:rsid w:val="00F03322"/>
    <w:rsid w:val="00F03DB3"/>
    <w:rsid w:val="00F04DEC"/>
    <w:rsid w:val="00F04DFF"/>
    <w:rsid w:val="00F06F41"/>
    <w:rsid w:val="00F07201"/>
    <w:rsid w:val="00F14DF6"/>
    <w:rsid w:val="00F153EA"/>
    <w:rsid w:val="00F1644D"/>
    <w:rsid w:val="00F2139F"/>
    <w:rsid w:val="00F21D72"/>
    <w:rsid w:val="00F23EA7"/>
    <w:rsid w:val="00F24919"/>
    <w:rsid w:val="00F24EA2"/>
    <w:rsid w:val="00F26715"/>
    <w:rsid w:val="00F27159"/>
    <w:rsid w:val="00F310AB"/>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6AB"/>
    <w:rsid w:val="00F50699"/>
    <w:rsid w:val="00F50B59"/>
    <w:rsid w:val="00F53094"/>
    <w:rsid w:val="00F53478"/>
    <w:rsid w:val="00F5354A"/>
    <w:rsid w:val="00F57373"/>
    <w:rsid w:val="00F57C9F"/>
    <w:rsid w:val="00F61FD7"/>
    <w:rsid w:val="00F63AB9"/>
    <w:rsid w:val="00F6643F"/>
    <w:rsid w:val="00F67760"/>
    <w:rsid w:val="00F716DF"/>
    <w:rsid w:val="00F72747"/>
    <w:rsid w:val="00F763E8"/>
    <w:rsid w:val="00F771D3"/>
    <w:rsid w:val="00F81E7A"/>
    <w:rsid w:val="00F82177"/>
    <w:rsid w:val="00F82BFF"/>
    <w:rsid w:val="00F83C45"/>
    <w:rsid w:val="00F84055"/>
    <w:rsid w:val="00F841C6"/>
    <w:rsid w:val="00F84FED"/>
    <w:rsid w:val="00F87514"/>
    <w:rsid w:val="00F91DBB"/>
    <w:rsid w:val="00F95569"/>
    <w:rsid w:val="00FA27DE"/>
    <w:rsid w:val="00FA2F6E"/>
    <w:rsid w:val="00FB0D4F"/>
    <w:rsid w:val="00FB11C3"/>
    <w:rsid w:val="00FB6E97"/>
    <w:rsid w:val="00FC12F1"/>
    <w:rsid w:val="00FC2213"/>
    <w:rsid w:val="00FC2EDF"/>
    <w:rsid w:val="00FC33E2"/>
    <w:rsid w:val="00FC351B"/>
    <w:rsid w:val="00FC3B5E"/>
    <w:rsid w:val="00FC4618"/>
    <w:rsid w:val="00FC4837"/>
    <w:rsid w:val="00FC4C9A"/>
    <w:rsid w:val="00FC66B9"/>
    <w:rsid w:val="00FC6A3F"/>
    <w:rsid w:val="00FC707C"/>
    <w:rsid w:val="00FD1F2E"/>
    <w:rsid w:val="00FD3ADB"/>
    <w:rsid w:val="00FD513B"/>
    <w:rsid w:val="00FD57D1"/>
    <w:rsid w:val="00FD7B8B"/>
    <w:rsid w:val="00FE21A9"/>
    <w:rsid w:val="00FE4667"/>
    <w:rsid w:val="00FE5C52"/>
    <w:rsid w:val="00FF07C0"/>
    <w:rsid w:val="00FF2338"/>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51906">
      <o:colormenu v:ext="edit" strokecolor="none"/>
    </o:shapedefaults>
    <o:shapelayout v:ext="edit">
      <o:idmap v:ext="edit" data="1,9,97,218"/>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package" Target="embeddings/Hoja_de_c_lculo_de_Microsoft_Office_Excel27.xlsx"/><Relationship Id="rId21" Type="http://schemas.openxmlformats.org/officeDocument/2006/relationships/footer" Target="footer4.xml"/><Relationship Id="rId42" Type="http://schemas.openxmlformats.org/officeDocument/2006/relationships/package" Target="embeddings/Hoja_de_c_lculo_de_Microsoft_Office_Excel6.xlsx"/><Relationship Id="rId47" Type="http://schemas.openxmlformats.org/officeDocument/2006/relationships/footer" Target="footer9.xml"/><Relationship Id="rId63" Type="http://schemas.openxmlformats.org/officeDocument/2006/relationships/package" Target="embeddings/Hoja_de_c_lculo_de_Microsoft_Office_Excel11.xlsx"/><Relationship Id="rId68" Type="http://schemas.openxmlformats.org/officeDocument/2006/relationships/image" Target="media/image24.emf"/><Relationship Id="rId84" Type="http://schemas.openxmlformats.org/officeDocument/2006/relationships/footer" Target="footer18.xml"/><Relationship Id="rId89" Type="http://schemas.openxmlformats.org/officeDocument/2006/relationships/image" Target="media/image30.emf"/><Relationship Id="rId112" Type="http://schemas.openxmlformats.org/officeDocument/2006/relationships/package" Target="embeddings/Hoja_de_c_lculo_de_Microsoft_Office_Excel26.xlsx"/><Relationship Id="rId133" Type="http://schemas.openxmlformats.org/officeDocument/2006/relationships/image" Target="media/image43.emf"/><Relationship Id="rId138" Type="http://schemas.openxmlformats.org/officeDocument/2006/relationships/package" Target="embeddings/Hoja_de_c_lculo_de_Microsoft_Office_Excel31.xlsx"/><Relationship Id="rId154" Type="http://schemas.openxmlformats.org/officeDocument/2006/relationships/footer" Target="footer29.xml"/><Relationship Id="rId159" Type="http://schemas.openxmlformats.org/officeDocument/2006/relationships/image" Target="media/image53.wmf"/><Relationship Id="rId175" Type="http://schemas.openxmlformats.org/officeDocument/2006/relationships/oleObject" Target="embeddings/oleObject1.bin"/><Relationship Id="rId170" Type="http://schemas.openxmlformats.org/officeDocument/2006/relationships/image" Target="media/image64.wmf"/><Relationship Id="rId16" Type="http://schemas.openxmlformats.org/officeDocument/2006/relationships/image" Target="media/image3.emf"/><Relationship Id="rId107" Type="http://schemas.openxmlformats.org/officeDocument/2006/relationships/image" Target="media/image38.emf"/><Relationship Id="rId11" Type="http://schemas.openxmlformats.org/officeDocument/2006/relationships/footer" Target="footer2.xml"/><Relationship Id="rId32" Type="http://schemas.openxmlformats.org/officeDocument/2006/relationships/header" Target="header7.xml"/><Relationship Id="rId37" Type="http://schemas.openxmlformats.org/officeDocument/2006/relationships/image" Target="media/image10.emf"/><Relationship Id="rId53" Type="http://schemas.openxmlformats.org/officeDocument/2006/relationships/oleObject" Target="embeddings/Hoja_de_c_lculo_de_Microsoft_Office_Excel_97-20033.xls"/><Relationship Id="rId58" Type="http://schemas.openxmlformats.org/officeDocument/2006/relationships/image" Target="media/image19.emf"/><Relationship Id="rId74" Type="http://schemas.openxmlformats.org/officeDocument/2006/relationships/header" Target="header13.xml"/><Relationship Id="rId79" Type="http://schemas.openxmlformats.org/officeDocument/2006/relationships/image" Target="media/image26.emf"/><Relationship Id="rId102" Type="http://schemas.openxmlformats.org/officeDocument/2006/relationships/package" Target="embeddings/Hoja_de_c_lculo_de_Microsoft_Office_Excel22.xlsx"/><Relationship Id="rId123" Type="http://schemas.openxmlformats.org/officeDocument/2006/relationships/header" Target="header21.xml"/><Relationship Id="rId128" Type="http://schemas.openxmlformats.org/officeDocument/2006/relationships/footer" Target="footer24.xml"/><Relationship Id="rId144" Type="http://schemas.openxmlformats.org/officeDocument/2006/relationships/oleObject" Target="embeddings/Hoja_de_c_lculo_de_Microsoft_Office_Excel_97-20035.xls"/><Relationship Id="rId149" Type="http://schemas.openxmlformats.org/officeDocument/2006/relationships/image" Target="media/image49.emf"/><Relationship Id="rId5" Type="http://schemas.openxmlformats.org/officeDocument/2006/relationships/webSettings" Target="webSettings.xml"/><Relationship Id="rId90" Type="http://schemas.openxmlformats.org/officeDocument/2006/relationships/package" Target="embeddings/Hoja_de_c_lculo_de_Microsoft_Office_Excel16.xlsx"/><Relationship Id="rId95" Type="http://schemas.openxmlformats.org/officeDocument/2006/relationships/image" Target="media/image33.emf"/><Relationship Id="rId160" Type="http://schemas.openxmlformats.org/officeDocument/2006/relationships/image" Target="media/image54.wmf"/><Relationship Id="rId165" Type="http://schemas.openxmlformats.org/officeDocument/2006/relationships/image" Target="media/image59.wmf"/><Relationship Id="rId22" Type="http://schemas.openxmlformats.org/officeDocument/2006/relationships/header" Target="header4.xml"/><Relationship Id="rId27" Type="http://schemas.openxmlformats.org/officeDocument/2006/relationships/footer" Target="footer6.xml"/><Relationship Id="rId43" Type="http://schemas.openxmlformats.org/officeDocument/2006/relationships/image" Target="media/image13.wmf"/><Relationship Id="rId48" Type="http://schemas.openxmlformats.org/officeDocument/2006/relationships/image" Target="media/image16.emf"/><Relationship Id="rId64" Type="http://schemas.openxmlformats.org/officeDocument/2006/relationships/image" Target="media/image22.wmf"/><Relationship Id="rId69" Type="http://schemas.openxmlformats.org/officeDocument/2006/relationships/package" Target="embeddings/Hoja_de_c_lculo_de_Microsoft_Office_Excel12.xlsx"/><Relationship Id="rId113" Type="http://schemas.openxmlformats.org/officeDocument/2006/relationships/header" Target="header17.xml"/><Relationship Id="rId118" Type="http://schemas.openxmlformats.org/officeDocument/2006/relationships/image" Target="media/image42.emf"/><Relationship Id="rId134" Type="http://schemas.openxmlformats.org/officeDocument/2006/relationships/package" Target="embeddings/Hoja_de_c_lculo_de_Microsoft_Office_Excel29.xlsx"/><Relationship Id="rId139" Type="http://schemas.openxmlformats.org/officeDocument/2006/relationships/image" Target="media/image46.emf"/><Relationship Id="rId80" Type="http://schemas.openxmlformats.org/officeDocument/2006/relationships/oleObject" Target="embeddings/Hoja_de_c_lculo_de_Microsoft_Office_Excel_97-20034.xls"/><Relationship Id="rId85" Type="http://schemas.openxmlformats.org/officeDocument/2006/relationships/image" Target="media/image28.emf"/><Relationship Id="rId150" Type="http://schemas.openxmlformats.org/officeDocument/2006/relationships/package" Target="embeddings/Hoja_de_c_lculo_de_Microsoft_Office_Excel34.xlsx"/><Relationship Id="rId155" Type="http://schemas.openxmlformats.org/officeDocument/2006/relationships/image" Target="media/image51.wmf"/><Relationship Id="rId171" Type="http://schemas.openxmlformats.org/officeDocument/2006/relationships/image" Target="media/image65.wmf"/><Relationship Id="rId176" Type="http://schemas.openxmlformats.org/officeDocument/2006/relationships/image" Target="media/image67.e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footer" Target="footer8.xml"/><Relationship Id="rId38" Type="http://schemas.openxmlformats.org/officeDocument/2006/relationships/package" Target="embeddings/Hoja_de_c_lculo_de_Microsoft_Office_Excel4.xlsx"/><Relationship Id="rId59" Type="http://schemas.openxmlformats.org/officeDocument/2006/relationships/package" Target="embeddings/Hoja_de_c_lculo_de_Microsoft_Office_Excel9.xlsx"/><Relationship Id="rId103" Type="http://schemas.openxmlformats.org/officeDocument/2006/relationships/image" Target="media/image37.emf"/><Relationship Id="rId108" Type="http://schemas.openxmlformats.org/officeDocument/2006/relationships/package" Target="embeddings/Hoja_de_c_lculo_de_Microsoft_Office_Excel24.xlsx"/><Relationship Id="rId124" Type="http://schemas.openxmlformats.org/officeDocument/2006/relationships/footer" Target="footer22.xml"/><Relationship Id="rId129" Type="http://schemas.openxmlformats.org/officeDocument/2006/relationships/header" Target="header24.xml"/><Relationship Id="rId54" Type="http://schemas.openxmlformats.org/officeDocument/2006/relationships/image" Target="media/image18.emf"/><Relationship Id="rId70" Type="http://schemas.openxmlformats.org/officeDocument/2006/relationships/image" Target="media/image25.emf"/><Relationship Id="rId75" Type="http://schemas.openxmlformats.org/officeDocument/2006/relationships/footer" Target="footer14.xml"/><Relationship Id="rId91" Type="http://schemas.openxmlformats.org/officeDocument/2006/relationships/image" Target="media/image31.emf"/><Relationship Id="rId96" Type="http://schemas.openxmlformats.org/officeDocument/2006/relationships/package" Target="embeddings/Hoja_de_c_lculo_de_Microsoft_Office_Excel19.xlsx"/><Relationship Id="rId140" Type="http://schemas.openxmlformats.org/officeDocument/2006/relationships/package" Target="embeddings/Hoja_de_c_lculo_de_Microsoft_Office_Excel32.xlsx"/><Relationship Id="rId145" Type="http://schemas.openxmlformats.org/officeDocument/2006/relationships/header" Target="header26.xml"/><Relationship Id="rId161" Type="http://schemas.openxmlformats.org/officeDocument/2006/relationships/image" Target="media/image55.wmf"/><Relationship Id="rId166" Type="http://schemas.openxmlformats.org/officeDocument/2006/relationships/image" Target="media/image6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6.xml"/><Relationship Id="rId49" Type="http://schemas.openxmlformats.org/officeDocument/2006/relationships/package" Target="embeddings/Hoja_de_c_lculo_de_Microsoft_Office_Excel7.xlsx"/><Relationship Id="rId114" Type="http://schemas.openxmlformats.org/officeDocument/2006/relationships/header" Target="header18.xml"/><Relationship Id="rId119" Type="http://schemas.openxmlformats.org/officeDocument/2006/relationships/package" Target="embeddings/Hoja_de_c_lculo_de_Microsoft_Office_Excel28.xlsx"/><Relationship Id="rId10" Type="http://schemas.openxmlformats.org/officeDocument/2006/relationships/footer" Target="footer1.xml"/><Relationship Id="rId31" Type="http://schemas.openxmlformats.org/officeDocument/2006/relationships/oleObject" Target="embeddings/Hoja_de_c_lculo_de_Microsoft_Office_Excel_97-20032.xls"/><Relationship Id="rId44" Type="http://schemas.openxmlformats.org/officeDocument/2006/relationships/image" Target="media/image14.wmf"/><Relationship Id="rId52" Type="http://schemas.openxmlformats.org/officeDocument/2006/relationships/image" Target="media/image17.emf"/><Relationship Id="rId60" Type="http://schemas.openxmlformats.org/officeDocument/2006/relationships/image" Target="media/image20.emf"/><Relationship Id="rId65" Type="http://schemas.openxmlformats.org/officeDocument/2006/relationships/image" Target="media/image23.wmf"/><Relationship Id="rId73" Type="http://schemas.openxmlformats.org/officeDocument/2006/relationships/footer" Target="footer13.xml"/><Relationship Id="rId78" Type="http://schemas.openxmlformats.org/officeDocument/2006/relationships/footer" Target="footer16.xml"/><Relationship Id="rId81" Type="http://schemas.openxmlformats.org/officeDocument/2006/relationships/image" Target="media/image27.wmf"/><Relationship Id="rId86" Type="http://schemas.openxmlformats.org/officeDocument/2006/relationships/package" Target="embeddings/Hoja_de_c_lculo_de_Microsoft_Office_Excel14.xlsx"/><Relationship Id="rId94" Type="http://schemas.openxmlformats.org/officeDocument/2006/relationships/package" Target="embeddings/Hoja_de_c_lculo_de_Microsoft_Office_Excel18.xlsx"/><Relationship Id="rId99" Type="http://schemas.openxmlformats.org/officeDocument/2006/relationships/image" Target="media/image35.emf"/><Relationship Id="rId101" Type="http://schemas.openxmlformats.org/officeDocument/2006/relationships/image" Target="media/image36.emf"/><Relationship Id="rId122" Type="http://schemas.openxmlformats.org/officeDocument/2006/relationships/header" Target="header20.xml"/><Relationship Id="rId130" Type="http://schemas.openxmlformats.org/officeDocument/2006/relationships/footer" Target="footer25.xml"/><Relationship Id="rId135" Type="http://schemas.openxmlformats.org/officeDocument/2006/relationships/image" Target="media/image44.emf"/><Relationship Id="rId143" Type="http://schemas.openxmlformats.org/officeDocument/2006/relationships/image" Target="media/image48.emf"/><Relationship Id="rId148" Type="http://schemas.openxmlformats.org/officeDocument/2006/relationships/footer" Target="footer28.xml"/><Relationship Id="rId151" Type="http://schemas.openxmlformats.org/officeDocument/2006/relationships/image" Target="media/image50.emf"/><Relationship Id="rId156" Type="http://schemas.openxmlformats.org/officeDocument/2006/relationships/image" Target="media/image52.wmf"/><Relationship Id="rId164" Type="http://schemas.openxmlformats.org/officeDocument/2006/relationships/image" Target="media/image58.wmf"/><Relationship Id="rId169" Type="http://schemas.openxmlformats.org/officeDocument/2006/relationships/image" Target="media/image63.wmf"/><Relationship Id="rId177" Type="http://schemas.openxmlformats.org/officeDocument/2006/relationships/image" Target="media/image68.emf"/><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header" Target="header30.xml"/><Relationship Id="rId180" Type="http://schemas.openxmlformats.org/officeDocument/2006/relationships/theme" Target="theme/theme1.xml"/><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1.emf"/><Relationship Id="rId109" Type="http://schemas.openxmlformats.org/officeDocument/2006/relationships/image" Target="media/image39.emf"/><Relationship Id="rId34" Type="http://schemas.openxmlformats.org/officeDocument/2006/relationships/image" Target="media/image8.png"/><Relationship Id="rId50" Type="http://schemas.openxmlformats.org/officeDocument/2006/relationships/header" Target="header9.xml"/><Relationship Id="rId55" Type="http://schemas.openxmlformats.org/officeDocument/2006/relationships/package" Target="embeddings/Hoja_de_c_lculo_de_Microsoft_Office_Excel8.xlsx"/><Relationship Id="rId76" Type="http://schemas.openxmlformats.org/officeDocument/2006/relationships/footer" Target="footer15.xml"/><Relationship Id="rId97" Type="http://schemas.openxmlformats.org/officeDocument/2006/relationships/image" Target="media/image34.emf"/><Relationship Id="rId104" Type="http://schemas.openxmlformats.org/officeDocument/2006/relationships/package" Target="embeddings/Hoja_de_c_lculo_de_Microsoft_Office_Excel23.xlsx"/><Relationship Id="rId120" Type="http://schemas.openxmlformats.org/officeDocument/2006/relationships/header" Target="header19.xml"/><Relationship Id="rId125" Type="http://schemas.openxmlformats.org/officeDocument/2006/relationships/header" Target="header22.xml"/><Relationship Id="rId141" Type="http://schemas.openxmlformats.org/officeDocument/2006/relationships/image" Target="media/image47.emf"/><Relationship Id="rId146" Type="http://schemas.openxmlformats.org/officeDocument/2006/relationships/footer" Target="footer27.xml"/><Relationship Id="rId167" Type="http://schemas.openxmlformats.org/officeDocument/2006/relationships/image" Target="media/image61.wmf"/><Relationship Id="rId7" Type="http://schemas.openxmlformats.org/officeDocument/2006/relationships/endnotes" Target="endnotes.xml"/><Relationship Id="rId71" Type="http://schemas.openxmlformats.org/officeDocument/2006/relationships/package" Target="embeddings/Hoja_de_c_lculo_de_Microsoft_Office_Excel13.xlsx"/><Relationship Id="rId92" Type="http://schemas.openxmlformats.org/officeDocument/2006/relationships/package" Target="embeddings/Hoja_de_c_lculo_de_Microsoft_Office_Excel17.xlsx"/><Relationship Id="rId162" Type="http://schemas.openxmlformats.org/officeDocument/2006/relationships/image" Target="media/image56.wmf"/><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5.wmf"/><Relationship Id="rId40" Type="http://schemas.openxmlformats.org/officeDocument/2006/relationships/package" Target="embeddings/Hoja_de_c_lculo_de_Microsoft_Office_Excel5.xlsx"/><Relationship Id="rId45" Type="http://schemas.openxmlformats.org/officeDocument/2006/relationships/image" Target="media/image15.wmf"/><Relationship Id="rId66" Type="http://schemas.openxmlformats.org/officeDocument/2006/relationships/header" Target="header11.xml"/><Relationship Id="rId87" Type="http://schemas.openxmlformats.org/officeDocument/2006/relationships/image" Target="media/image29.emf"/><Relationship Id="rId110" Type="http://schemas.openxmlformats.org/officeDocument/2006/relationships/package" Target="embeddings/Hoja_de_c_lculo_de_Microsoft_Office_Excel25.xlsx"/><Relationship Id="rId115" Type="http://schemas.openxmlformats.org/officeDocument/2006/relationships/footer" Target="footer20.xml"/><Relationship Id="rId131" Type="http://schemas.openxmlformats.org/officeDocument/2006/relationships/header" Target="header25.xml"/><Relationship Id="rId136" Type="http://schemas.openxmlformats.org/officeDocument/2006/relationships/package" Target="embeddings/Hoja_de_c_lculo_de_Microsoft_Office_Excel30.xlsx"/><Relationship Id="rId157" Type="http://schemas.openxmlformats.org/officeDocument/2006/relationships/header" Target="header29.xml"/><Relationship Id="rId178" Type="http://schemas.openxmlformats.org/officeDocument/2006/relationships/oleObject" Target="embeddings/Hoja_de_c_lculo_de_Microsoft_Office_Excel_97-20037.xls"/><Relationship Id="rId61" Type="http://schemas.openxmlformats.org/officeDocument/2006/relationships/package" Target="embeddings/Hoja_de_c_lculo_de_Microsoft_Office_Excel10.xlsx"/><Relationship Id="rId82" Type="http://schemas.openxmlformats.org/officeDocument/2006/relationships/header" Target="header15.xml"/><Relationship Id="rId152" Type="http://schemas.openxmlformats.org/officeDocument/2006/relationships/oleObject" Target="embeddings/Hoja_de_c_lculo_de_Microsoft_Office_Excel_97-20036.xls"/><Relationship Id="rId173" Type="http://schemas.openxmlformats.org/officeDocument/2006/relationships/footer" Target="footer31.xml"/><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image" Target="media/image9.emf"/><Relationship Id="rId56" Type="http://schemas.openxmlformats.org/officeDocument/2006/relationships/header" Target="header10.xml"/><Relationship Id="rId77" Type="http://schemas.openxmlformats.org/officeDocument/2006/relationships/header" Target="header14.xml"/><Relationship Id="rId100" Type="http://schemas.openxmlformats.org/officeDocument/2006/relationships/package" Target="embeddings/Hoja_de_c_lculo_de_Microsoft_Office_Excel21.xlsx"/><Relationship Id="rId105" Type="http://schemas.openxmlformats.org/officeDocument/2006/relationships/header" Target="header16.xml"/><Relationship Id="rId126" Type="http://schemas.openxmlformats.org/officeDocument/2006/relationships/header" Target="header23.xml"/><Relationship Id="rId147" Type="http://schemas.openxmlformats.org/officeDocument/2006/relationships/header" Target="header27.xml"/><Relationship Id="rId168" Type="http://schemas.openxmlformats.org/officeDocument/2006/relationships/image" Target="media/image62.wmf"/><Relationship Id="rId8" Type="http://schemas.openxmlformats.org/officeDocument/2006/relationships/image" Target="media/image1.png"/><Relationship Id="rId51" Type="http://schemas.openxmlformats.org/officeDocument/2006/relationships/footer" Target="footer10.xml"/><Relationship Id="rId72" Type="http://schemas.openxmlformats.org/officeDocument/2006/relationships/header" Target="header12.xml"/><Relationship Id="rId93" Type="http://schemas.openxmlformats.org/officeDocument/2006/relationships/image" Target="media/image32.emf"/><Relationship Id="rId98" Type="http://schemas.openxmlformats.org/officeDocument/2006/relationships/package" Target="embeddings/Hoja_de_c_lculo_de_Microsoft_Office_Excel20.xlsx"/><Relationship Id="rId121" Type="http://schemas.openxmlformats.org/officeDocument/2006/relationships/footer" Target="footer21.xml"/><Relationship Id="rId142" Type="http://schemas.openxmlformats.org/officeDocument/2006/relationships/package" Target="embeddings/Hoja_de_c_lculo_de_Microsoft_Office_Excel33.xlsx"/><Relationship Id="rId163" Type="http://schemas.openxmlformats.org/officeDocument/2006/relationships/image" Target="media/image57.wmf"/><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header" Target="header8.xml"/><Relationship Id="rId67" Type="http://schemas.openxmlformats.org/officeDocument/2006/relationships/footer" Target="footer12.xml"/><Relationship Id="rId116" Type="http://schemas.openxmlformats.org/officeDocument/2006/relationships/image" Target="media/image41.emf"/><Relationship Id="rId137" Type="http://schemas.openxmlformats.org/officeDocument/2006/relationships/image" Target="media/image45.emf"/><Relationship Id="rId158" Type="http://schemas.openxmlformats.org/officeDocument/2006/relationships/footer" Target="footer30.xml"/><Relationship Id="rId20" Type="http://schemas.openxmlformats.org/officeDocument/2006/relationships/header" Target="header3.xml"/><Relationship Id="rId41" Type="http://schemas.openxmlformats.org/officeDocument/2006/relationships/image" Target="media/image12.emf"/><Relationship Id="rId62" Type="http://schemas.openxmlformats.org/officeDocument/2006/relationships/image" Target="media/image21.emf"/><Relationship Id="rId83" Type="http://schemas.openxmlformats.org/officeDocument/2006/relationships/footer" Target="footer17.xml"/><Relationship Id="rId88" Type="http://schemas.openxmlformats.org/officeDocument/2006/relationships/package" Target="embeddings/Hoja_de_c_lculo_de_Microsoft_Office_Excel15.xlsx"/><Relationship Id="rId111" Type="http://schemas.openxmlformats.org/officeDocument/2006/relationships/image" Target="media/image40.emf"/><Relationship Id="rId132" Type="http://schemas.openxmlformats.org/officeDocument/2006/relationships/footer" Target="footer26.xml"/><Relationship Id="rId153" Type="http://schemas.openxmlformats.org/officeDocument/2006/relationships/header" Target="header28.xml"/><Relationship Id="rId174" Type="http://schemas.openxmlformats.org/officeDocument/2006/relationships/image" Target="media/image66.wmf"/><Relationship Id="rId179" Type="http://schemas.openxmlformats.org/officeDocument/2006/relationships/fontTable" Target="fontTable.xml"/><Relationship Id="rId15" Type="http://schemas.openxmlformats.org/officeDocument/2006/relationships/oleObject" Target="embeddings/Hoja_de_c_lculo_de_Microsoft_Office_Excel_97-20031.xls"/><Relationship Id="rId36" Type="http://schemas.openxmlformats.org/officeDocument/2006/relationships/package" Target="embeddings/Hoja_de_c_lculo_de_Microsoft_Office_Excel3.xlsx"/><Relationship Id="rId57" Type="http://schemas.openxmlformats.org/officeDocument/2006/relationships/footer" Target="footer11.xml"/><Relationship Id="rId106" Type="http://schemas.openxmlformats.org/officeDocument/2006/relationships/footer" Target="footer19.xml"/><Relationship Id="rId127" Type="http://schemas.openxmlformats.org/officeDocument/2006/relationships/footer" Target="footer2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7A56F-2AB2-4771-B03B-E67109DCB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48</Pages>
  <Words>4684</Words>
  <Characters>25767</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30391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90</cp:revision>
  <cp:lastPrinted>2012-05-24T16:15:00Z</cp:lastPrinted>
  <dcterms:created xsi:type="dcterms:W3CDTF">2012-05-10T22:34:00Z</dcterms:created>
  <dcterms:modified xsi:type="dcterms:W3CDTF">2012-05-24T16:16:00Z</dcterms:modified>
</cp:coreProperties>
</file>